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jc w:val="center"/>
        <w:rPr>
          <w:rFonts w:eastAsia="方正小标宋_GBK" w:cs="方正小标宋_GBK" w:hAnsi="Times New Roman" w:hint="eastAsia"/>
          <w:sz w:val="44"/>
          <w:szCs w:val="44"/>
        </w:rPr>
      </w:pPr>
      <w:r>
        <w:rPr>
          <w:rFonts w:eastAsia="方正小标宋_GBK" w:cs="方正小标宋_GBK" w:hAnsi="Times New Roman" w:hint="eastAsia"/>
          <w:sz w:val="44"/>
          <w:szCs w:val="44"/>
        </w:rPr>
        <w:t>浦发银行海关AEO企业金融服务方案</w:t>
      </w:r>
    </w:p>
    <w:p>
      <w:pPr>
        <w:ind w:firstLineChars="200" w:firstLine="640"/>
        <w:rPr>
          <w:rFonts w:ascii="黑体" w:eastAsia="黑体" w:cs="黑体" w:hAnsi="黑体"/>
          <w:sz w:val="32"/>
          <w:szCs w:val="32"/>
        </w:rPr>
      </w:pPr>
    </w:p>
    <w:p>
      <w:pPr>
        <w:ind w:firstLineChars="200" w:firstLine="640"/>
        <w:rPr>
          <w:rFonts w:ascii="黑体" w:eastAsia="黑体" w:cs="黑体" w:hAnsi="黑体" w:hint="eastAsia"/>
          <w:sz w:val="32"/>
          <w:szCs w:val="32"/>
        </w:rPr>
      </w:pPr>
      <w:r>
        <w:rPr>
          <w:rFonts w:ascii="黑体" w:eastAsia="黑体" w:cs="黑体" w:hAnsi="黑体" w:hint="eastAsia"/>
          <w:sz w:val="32"/>
          <w:szCs w:val="32"/>
        </w:rPr>
        <w:t>一、</w:t>
      </w:r>
      <w:bookmarkStart w:id="0" w:name="_GoBack"/>
      <w:r>
        <w:rPr>
          <w:rFonts w:ascii="黑体" w:eastAsia="黑体" w:cs="黑体" w:hAnsi="黑体" w:hint="eastAsia"/>
          <w:sz w:val="32"/>
          <w:szCs w:val="32"/>
        </w:rPr>
        <w:t>企业</w:t>
      </w:r>
      <w:bookmarkEnd w:id="0"/>
      <w:r>
        <w:rPr>
          <w:rFonts w:ascii="黑体" w:eastAsia="黑体" w:cs="黑体" w:hAnsi="黑体" w:hint="eastAsia"/>
          <w:sz w:val="32"/>
          <w:szCs w:val="32"/>
        </w:rPr>
        <w:t>融资服务</w:t>
      </w:r>
    </w:p>
    <w:p>
      <w:pPr>
        <w:ind w:firstLineChars="200" w:firstLine="640"/>
        <w:rPr>
          <w:rFonts w:eastAsia="方正仿宋_GBK" w:cs="方正仿宋_GBK" w:hAnsi="Times New Roman"/>
          <w:sz w:val="32"/>
          <w:szCs w:val="32"/>
        </w:rPr>
      </w:pPr>
      <w:r>
        <w:rPr>
          <w:rFonts w:eastAsia="方正仿宋_GBK" w:cs="方正仿宋_GBK" w:hAnsi="Times New Roman" w:hint="eastAsia"/>
          <w:sz w:val="32"/>
          <w:szCs w:val="32"/>
        </w:rPr>
        <w:t>1</w:t>
      </w:r>
      <w:r>
        <w:rPr>
          <w:rFonts w:eastAsia="方正仿宋_GBK" w:cs="方正仿宋_GBK" w:hAnsi="Times New Roman"/>
          <w:sz w:val="32"/>
          <w:szCs w:val="32"/>
        </w:rPr>
        <w:t>.</w:t>
      </w:r>
      <w:r>
        <w:rPr>
          <w:rFonts w:eastAsia="方正仿宋_GBK" w:cs="方正仿宋_GBK" w:hAnsi="Times New Roman" w:hint="eastAsia"/>
          <w:sz w:val="32"/>
          <w:szCs w:val="32"/>
        </w:rPr>
        <w:t>信用贷款支持：对于海关AEO企业，我行在融资担保措施方面可降低要求，对于信用记录良好、经营稳定的AEO企业，可根据企业的进出口规模、退税情况等，给予一定额度的信用贷款，最高信用额度不超过1000万元(科技型企业最高信用额度不超过3000万元)。</w:t>
      </w:r>
    </w:p>
    <w:p>
      <w:pPr>
        <w:ind w:firstLineChars="200" w:firstLine="640"/>
        <w:rPr>
          <w:rFonts w:eastAsia="方正仿宋_GBK" w:cs="方正仿宋_GBK" w:hAnsi="Times New Roman"/>
          <w:sz w:val="32"/>
          <w:szCs w:val="32"/>
        </w:rPr>
      </w:pPr>
      <w:r>
        <w:rPr>
          <w:rFonts w:eastAsia="方正仿宋_GBK" w:cs="方正仿宋_GBK" w:hAnsi="Times New Roman" w:hint="eastAsia"/>
          <w:sz w:val="32"/>
          <w:szCs w:val="32"/>
        </w:rPr>
        <w:t>2</w:t>
      </w:r>
      <w:r>
        <w:rPr>
          <w:rFonts w:eastAsia="方正仿宋_GBK" w:cs="方正仿宋_GBK" w:hAnsi="Times New Roman"/>
          <w:sz w:val="32"/>
          <w:szCs w:val="32"/>
        </w:rPr>
        <w:t>.</w:t>
      </w:r>
      <w:r>
        <w:rPr>
          <w:rFonts w:eastAsia="方正仿宋_GBK" w:cs="方正仿宋_GBK" w:hAnsi="Times New Roman" w:hint="eastAsia"/>
          <w:sz w:val="32"/>
          <w:szCs w:val="32"/>
        </w:rPr>
        <w:t>贷款利率优惠：对于符合我行授信条件的AEO企业，我行贷款利率在同期市场利率基础上给予一定幅度的优惠。</w:t>
      </w:r>
    </w:p>
    <w:p>
      <w:pPr>
        <w:ind w:firstLineChars="200" w:firstLine="640"/>
        <w:rPr>
          <w:rFonts w:eastAsia="方正仿宋_GBK" w:cs="方正仿宋_GBK" w:hAnsi="Times New Roman"/>
          <w:sz w:val="32"/>
          <w:szCs w:val="32"/>
        </w:rPr>
      </w:pPr>
      <w:r>
        <w:rPr>
          <w:rFonts w:eastAsia="方正仿宋_GBK" w:cs="方正仿宋_GBK" w:hAnsi="Times New Roman" w:hint="eastAsia"/>
          <w:sz w:val="32"/>
          <w:szCs w:val="32"/>
        </w:rPr>
        <w:t>3</w:t>
      </w:r>
      <w:r>
        <w:rPr>
          <w:rFonts w:eastAsia="方正仿宋_GBK" w:cs="方正仿宋_GBK" w:hAnsi="Times New Roman"/>
          <w:sz w:val="32"/>
          <w:szCs w:val="32"/>
        </w:rPr>
        <w:t>.</w:t>
      </w:r>
      <w:r>
        <w:rPr>
          <w:rFonts w:eastAsia="方正仿宋_GBK" w:cs="方正仿宋_GBK" w:hAnsi="Times New Roman" w:hint="eastAsia"/>
          <w:sz w:val="32"/>
          <w:szCs w:val="32"/>
        </w:rPr>
        <w:t>供应链金融服务：围绕AEO企业构建供应链金融服务体系，为其上下游企业提供融资支持。通过应收账款质押融资、存货质押融资等方式，帮助供应链上的中小企业解决融资难题。</w:t>
      </w:r>
    </w:p>
    <w:p>
      <w:pPr>
        <w:ind w:firstLineChars="200" w:firstLine="640"/>
        <w:rPr>
          <w:rFonts w:ascii="黑体" w:eastAsia="黑体" w:cs="黑体" w:hAnsi="黑体"/>
          <w:sz w:val="32"/>
          <w:szCs w:val="32"/>
        </w:rPr>
      </w:pPr>
      <w:r>
        <w:rPr>
          <w:rFonts w:ascii="黑体" w:eastAsia="黑体" w:cs="黑体" w:hAnsi="黑体" w:hint="eastAsia"/>
          <w:sz w:val="32"/>
          <w:szCs w:val="32"/>
        </w:rPr>
        <w:t>二、结算服务</w:t>
      </w:r>
    </w:p>
    <w:p>
      <w:pPr>
        <w:ind w:firstLineChars="200" w:firstLine="640"/>
        <w:rPr>
          <w:rFonts w:eastAsia="方正仿宋_GBK" w:cs="方正仿宋_GBK" w:hAnsi="Times New Roman"/>
          <w:sz w:val="32"/>
          <w:szCs w:val="32"/>
        </w:rPr>
      </w:pPr>
      <w:r>
        <w:rPr>
          <w:rFonts w:eastAsia="方正仿宋_GBK" w:cs="方正仿宋_GBK" w:hAnsi="Times New Roman" w:hint="eastAsia"/>
          <w:sz w:val="32"/>
          <w:szCs w:val="32"/>
        </w:rPr>
        <w:t>1</w:t>
      </w:r>
      <w:r>
        <w:rPr>
          <w:rFonts w:eastAsia="方正仿宋_GBK" w:cs="方正仿宋_GBK" w:hAnsi="Times New Roman"/>
          <w:sz w:val="32"/>
          <w:szCs w:val="32"/>
        </w:rPr>
        <w:t>.</w:t>
      </w:r>
      <w:r>
        <w:rPr>
          <w:rFonts w:eastAsia="方正仿宋_GBK" w:cs="方正仿宋_GBK" w:hAnsi="Times New Roman" w:hint="eastAsia"/>
          <w:sz w:val="32"/>
          <w:szCs w:val="32"/>
        </w:rPr>
        <w:t>跨境资金结算便利：允许AEO企业在真实、合法交易基础上，简化外汇收支单证审核，企业可自主选择在网银上办理外汇自主入账、自主结汇，自主出口申报，简化外汇结算流程。</w:t>
      </w:r>
    </w:p>
    <w:p>
      <w:pPr>
        <w:ind w:firstLineChars="200" w:firstLine="640"/>
        <w:rPr>
          <w:rFonts w:eastAsia="方正仿宋_GBK" w:cs="方正仿宋_GBK" w:hAnsi="Times New Roman"/>
          <w:sz w:val="32"/>
          <w:szCs w:val="32"/>
        </w:rPr>
      </w:pPr>
      <w:r>
        <w:rPr>
          <w:rFonts w:eastAsia="方正仿宋_GBK" w:cs="方正仿宋_GBK" w:hAnsi="Times New Roman" w:hint="eastAsia"/>
          <w:sz w:val="32"/>
          <w:szCs w:val="32"/>
        </w:rPr>
        <w:t>2</w:t>
      </w:r>
      <w:r>
        <w:rPr>
          <w:rFonts w:eastAsia="方正仿宋_GBK" w:cs="方正仿宋_GBK" w:hAnsi="Times New Roman"/>
          <w:sz w:val="32"/>
          <w:szCs w:val="32"/>
        </w:rPr>
        <w:t>.</w:t>
      </w:r>
      <w:r>
        <w:rPr>
          <w:rFonts w:eastAsia="方正仿宋_GBK" w:cs="方正仿宋_GBK" w:hAnsi="Times New Roman" w:hint="eastAsia"/>
          <w:sz w:val="32"/>
          <w:szCs w:val="32"/>
        </w:rPr>
        <w:t>高效结算服务：我行通过与国际知名银行建立合作关系，搭建快速结算通道，实现AEO企业跨境资金T+0.5到账</w:t>
      </w:r>
      <w:r>
        <w:rPr>
          <w:rFonts w:eastAsia="方正仿宋_GBK" w:cs="方正仿宋_GBK" w:hAnsi="Times New Roman"/>
          <w:sz w:val="32"/>
          <w:szCs w:val="32"/>
        </w:rPr>
        <w:t>。</w:t>
      </w:r>
    </w:p>
    <w:p>
      <w:pPr>
        <w:ind w:firstLineChars="200" w:firstLine="640"/>
        <w:rPr>
          <w:rFonts w:eastAsia="方正仿宋_GBK" w:cs="方正仿宋_GBK" w:hAnsi="Times New Roman"/>
          <w:sz w:val="32"/>
          <w:szCs w:val="32"/>
        </w:rPr>
      </w:pPr>
      <w:r>
        <w:rPr>
          <w:rFonts w:eastAsia="方正仿宋_GBK" w:cs="方正仿宋_GBK" w:hAnsi="Times New Roman" w:hint="eastAsia"/>
          <w:sz w:val="32"/>
          <w:szCs w:val="32"/>
        </w:rPr>
        <w:t>3</w:t>
      </w:r>
      <w:r>
        <w:rPr>
          <w:rFonts w:eastAsia="方正仿宋_GBK" w:cs="方正仿宋_GBK" w:hAnsi="Times New Roman"/>
          <w:sz w:val="32"/>
          <w:szCs w:val="32"/>
        </w:rPr>
        <w:t>.</w:t>
      </w:r>
      <w:r>
        <w:rPr>
          <w:rFonts w:eastAsia="方正仿宋_GBK" w:cs="方正仿宋_GBK" w:hAnsi="Times New Roman" w:hint="eastAsia"/>
          <w:sz w:val="32"/>
          <w:szCs w:val="32"/>
        </w:rPr>
        <w:t xml:space="preserve">降低结算手续费：我行给予AEO企业外汇结算手续费优惠加点，优惠加点数不低于115BP。 </w:t>
      </w:r>
    </w:p>
    <w:p>
      <w:pPr>
        <w:ind w:firstLineChars="200" w:firstLine="640"/>
        <w:rPr>
          <w:rFonts w:ascii="黑体" w:eastAsia="黑体" w:cs="黑体" w:hAnsi="黑体" w:hint="eastAsia"/>
          <w:sz w:val="32"/>
          <w:szCs w:val="32"/>
        </w:rPr>
      </w:pPr>
      <w:r>
        <w:rPr>
          <w:rFonts w:ascii="黑体" w:eastAsia="黑体" w:cs="黑体" w:hAnsi="黑体" w:hint="eastAsia"/>
          <w:sz w:val="32"/>
          <w:szCs w:val="32"/>
        </w:rPr>
        <w:t>三、企业盈余资金理财服务</w:t>
      </w:r>
    </w:p>
    <w:p>
      <w:pPr>
        <w:ind w:firstLineChars="200" w:firstLine="640"/>
        <w:rPr>
          <w:rFonts w:eastAsia="方正仿宋_GBK" w:cs="方正仿宋_GBK" w:hAnsi="Times New Roman"/>
          <w:sz w:val="32"/>
          <w:szCs w:val="32"/>
        </w:rPr>
      </w:pPr>
      <w:r>
        <w:rPr>
          <w:rFonts w:eastAsia="方正仿宋_GBK" w:cs="方正仿宋_GBK" w:hAnsi="Times New Roman" w:hint="eastAsia"/>
          <w:sz w:val="32"/>
          <w:szCs w:val="32"/>
        </w:rPr>
        <w:t>1</w:t>
      </w:r>
      <w:r>
        <w:rPr>
          <w:rFonts w:eastAsia="方正仿宋_GBK" w:cs="方正仿宋_GBK" w:hAnsi="Times New Roman"/>
          <w:sz w:val="32"/>
          <w:szCs w:val="32"/>
        </w:rPr>
        <w:t>.</w:t>
      </w:r>
      <w:r>
        <w:rPr>
          <w:rFonts w:eastAsia="方正仿宋_GBK" w:cs="方正仿宋_GBK" w:hAnsi="Times New Roman" w:hint="eastAsia"/>
          <w:sz w:val="32"/>
          <w:szCs w:val="32"/>
        </w:rPr>
        <w:t>现金管理类产品（天天盈、天添利、协定存款）适用日常有资金沉淀的企业，收益率较活期存款大大提高（收益率在0.6%-3%左右），办理手续简单，不影响企业日常资金使用</w:t>
      </w:r>
      <w:r>
        <w:rPr>
          <w:rFonts w:eastAsia="方正仿宋_GBK" w:cs="方正仿宋_GBK" w:hAnsi="Times New Roman"/>
          <w:sz w:val="32"/>
          <w:szCs w:val="32"/>
        </w:rPr>
        <w:t>。</w:t>
      </w:r>
    </w:p>
    <w:p>
      <w:pPr>
        <w:ind w:firstLineChars="200" w:firstLine="640"/>
        <w:rPr>
          <w:rFonts w:eastAsia="方正仿宋_GBK" w:cs="方正仿宋_GBK" w:hAnsi="Times New Roman"/>
          <w:sz w:val="32"/>
          <w:szCs w:val="32"/>
        </w:rPr>
      </w:pPr>
      <w:r>
        <w:rPr>
          <w:rFonts w:eastAsia="方正仿宋_GBK" w:cs="方正仿宋_GBK" w:hAnsi="Times New Roman" w:hint="eastAsia"/>
          <w:sz w:val="32"/>
          <w:szCs w:val="32"/>
        </w:rPr>
        <w:t>2</w:t>
      </w:r>
      <w:r>
        <w:rPr>
          <w:rFonts w:eastAsia="方正仿宋_GBK" w:cs="方正仿宋_GBK" w:hAnsi="Times New Roman"/>
          <w:sz w:val="32"/>
          <w:szCs w:val="32"/>
        </w:rPr>
        <w:t>.</w:t>
      </w:r>
      <w:r>
        <w:rPr>
          <w:rFonts w:eastAsia="方正仿宋_GBK" w:cs="方正仿宋_GBK" w:hAnsi="Times New Roman" w:hint="eastAsia"/>
          <w:sz w:val="32"/>
          <w:szCs w:val="32"/>
        </w:rPr>
        <w:t>结构性存款结构性存款，承诺保本，期限灵活，利率在2.1%-2.4%之间</w:t>
      </w:r>
      <w:r>
        <w:rPr>
          <w:rFonts w:eastAsia="方正仿宋_GBK" w:cs="方正仿宋_GBK" w:hAnsi="Times New Roman"/>
          <w:sz w:val="32"/>
          <w:szCs w:val="32"/>
        </w:rPr>
        <w:t>。</w:t>
      </w:r>
    </w:p>
    <w:p>
      <w:pPr>
        <w:ind w:firstLineChars="200" w:firstLine="640"/>
        <w:rPr>
          <w:rFonts w:eastAsia="方正仿宋_GBK" w:cs="方正仿宋_GBK" w:hAnsi="Times New Roman"/>
          <w:sz w:val="32"/>
          <w:szCs w:val="32"/>
        </w:rPr>
      </w:pPr>
      <w:r>
        <w:rPr>
          <w:rFonts w:eastAsia="方正仿宋_GBK" w:cs="方正仿宋_GBK" w:hAnsi="Times New Roman" w:hint="eastAsia"/>
          <w:sz w:val="32"/>
          <w:szCs w:val="32"/>
        </w:rPr>
        <w:t>3</w:t>
      </w:r>
      <w:r>
        <w:rPr>
          <w:rFonts w:eastAsia="方正仿宋_GBK" w:cs="方正仿宋_GBK" w:hAnsi="Times New Roman"/>
          <w:sz w:val="32"/>
          <w:szCs w:val="32"/>
        </w:rPr>
        <w:t>.</w:t>
      </w:r>
      <w:r>
        <w:rPr>
          <w:rFonts w:eastAsia="方正仿宋_GBK" w:cs="方正仿宋_GBK" w:hAnsi="Times New Roman" w:hint="eastAsia"/>
          <w:sz w:val="32"/>
          <w:szCs w:val="32"/>
        </w:rPr>
        <w:t>中长期理财产品中长期理财产品种类繁多，可根据客户资金期限需求，灵活配置，利率最高可达3.0%。</w:t>
      </w:r>
    </w:p>
    <w:p>
      <w:pPr>
        <w:ind w:firstLineChars="200" w:firstLine="640"/>
        <w:rPr>
          <w:rFonts w:eastAsia="方正仿宋_GBK" w:cs="方正仿宋_GBK" w:hAnsi="Times New Roman"/>
          <w:sz w:val="32"/>
          <w:szCs w:val="32"/>
        </w:rPr>
      </w:pPr>
    </w:p>
    <w:p>
      <w:pPr>
        <w:ind w:firstLineChars="200" w:firstLine="640"/>
        <w:rPr>
          <w:rFonts w:eastAsia="方正仿宋_GBK" w:cs="方正仿宋_GBK" w:hAnsi="Times New Roman"/>
          <w:sz w:val="32"/>
          <w:szCs w:val="32"/>
        </w:rPr>
      </w:pPr>
    </w:p>
    <w:p>
      <w:pPr>
        <w:ind w:firstLineChars="200" w:firstLine="640"/>
        <w:rPr>
          <w:rFonts w:eastAsia="方正仿宋_GBK" w:cs="方正仿宋_GBK" w:hAnsi="Times New Roman"/>
          <w:sz w:val="32"/>
          <w:szCs w:val="32"/>
        </w:rPr>
      </w:pPr>
    </w:p>
    <w:p>
      <w:pPr>
        <w:ind w:firstLineChars="1300" w:firstLine="4160"/>
        <w:rPr>
          <w:rFonts w:eastAsia="方正仿宋_GBK" w:cs="方正仿宋_GBK" w:hAnsi="Times New Roman"/>
          <w:sz w:val="32"/>
          <w:szCs w:val="32"/>
        </w:rPr>
      </w:pPr>
      <w:r>
        <w:rPr>
          <w:rFonts w:eastAsia="方正仿宋_GBK" w:cs="方正仿宋_GBK" w:hAnsi="Times New Roman" w:hint="eastAsia"/>
          <w:sz w:val="32"/>
          <w:szCs w:val="32"/>
        </w:rPr>
        <w:t>浦发银行漳州东山支行</w:t>
      </w:r>
    </w:p>
    <w:p>
      <w:pPr>
        <w:ind w:firstLineChars="1450" w:firstLine="4640"/>
        <w:rPr>
          <w:rFonts w:eastAsia="方正仿宋_GBK" w:cs="方正仿宋_GBK" w:hAnsi="Times New Roman" w:hint="eastAsia"/>
          <w:sz w:val="32"/>
          <w:szCs w:val="32"/>
        </w:rPr>
      </w:pPr>
      <w:r>
        <w:rPr>
          <w:rFonts w:eastAsia="方正仿宋_GBK" w:cs="方正仿宋_GBK" w:hAnsi="Times New Roman" w:hint="eastAsia"/>
          <w:sz w:val="32"/>
          <w:szCs w:val="32"/>
        </w:rPr>
        <w:t>2025年3月10日</w:t>
      </w:r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宋体" w:hAnsi="Times New Roman"/>
      <w:kern w:val="2"/>
      <w:sz w:val="21"/>
      <w:szCs w:val="21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1DFB018F-165C-4060-A3F2-5A4CC784A3B1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4</TotalTime>
  <Application>Yozo_Office27021597764231179</Application>
  <Pages>0</Pages>
  <Words>0</Words>
  <Characters>519</Characters>
  <Lines>0</Lines>
  <Paragraphs>19</Paragraphs>
  <CharactersWithSpaces>693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xm3722300</dc:creator>
  <cp:lastModifiedBy>xm3722300</cp:lastModifiedBy>
  <cp:revision>1</cp:revision>
  <dcterms:created xsi:type="dcterms:W3CDTF">2025-08-20T03:32:03Z</dcterms:created>
  <dcterms:modified xsi:type="dcterms:W3CDTF">2025-08-20T03:36:34Z</dcterms:modified>
</cp:coreProperties>
</file>