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rPr>
          <w:rFonts w:ascii="方正黑体_GBK" w:eastAsia="方正黑体_GBK" w:cs="方正小标宋_GBK" w:hint="eastAsia"/>
          <w:color w:val="000000"/>
          <w:sz w:val="32"/>
          <w:szCs w:val="32"/>
          <w:shd w:val="clear" w:color="auto" w:fill="auto"/>
        </w:rPr>
      </w:pPr>
      <w:bookmarkStart w:id="0" w:name="_GoBack"/>
      <w:bookmarkEnd w:id="0"/>
      <w:r>
        <w:rPr>
          <w:rFonts w:ascii="方正黑体_GBK" w:eastAsia="方正黑体_GBK" w:cs="方正小标宋_GBK" w:hint="eastAsia"/>
          <w:color w:val="000000"/>
          <w:sz w:val="32"/>
          <w:szCs w:val="32"/>
          <w:shd w:val="clear" w:color="auto" w:fill="auto"/>
        </w:rPr>
        <w:t>附件2-附表1</w:t>
      </w:r>
    </w:p>
    <w:p>
      <w:pPr>
        <w:spacing w:line="560" w:lineRule="exact"/>
        <w:rPr>
          <w:rFonts w:eastAsia="方正黑体_GBK"/>
          <w:color w:val="000000"/>
          <w:sz w:val="32"/>
          <w:szCs w:val="32"/>
          <w:shd w:val="clear" w:color="auto" w:fill="auto"/>
        </w:rPr>
      </w:pPr>
      <w:r>
        <w:rPr>
          <w:rFonts w:eastAsia="方正黑体_GBK"/>
          <w:color w:val="000000"/>
          <w:sz w:val="32"/>
          <w:szCs w:val="32"/>
          <w:shd w:val="clear" w:color="auto" w:fill="auto"/>
        </w:rPr>
        <w:t>Annex 2-Appendix 1</w:t>
      </w:r>
    </w:p>
    <w:p>
      <w:pPr>
        <w:pStyle w:val="26"/>
        <w:autoSpaceDE w:val="0"/>
        <w:autoSpaceDN w:val="0"/>
        <w:adjustRightInd w:val="0"/>
        <w:jc w:val="left"/>
        <w:rPr>
          <w:snapToGrid w:val="0"/>
          <w:sz w:val="32"/>
          <w:szCs w:val="32"/>
        </w:rPr>
      </w:pPr>
    </w:p>
    <w:p>
      <w:pPr>
        <w:pStyle w:val="27"/>
        <w:tabs>
          <w:tab w:val="left" w:pos="2395"/>
        </w:tabs>
        <w:spacing w:line="560" w:lineRule="exact"/>
        <w:jc w:val="center"/>
        <w:rPr>
          <w:rFonts w:ascii="方正小标宋_GBK" w:eastAsia="方正小标宋_GBK"/>
          <w:snapToGrid w:val="0"/>
          <w:kern w:val="0"/>
          <w:sz w:val="44"/>
          <w:szCs w:val="44"/>
        </w:rPr>
      </w:pPr>
      <w:r>
        <w:rPr>
          <w:rFonts w:ascii="方正小标宋_GBK" w:eastAsia="方正小标宋_GBK" w:hint="eastAsia"/>
          <w:bCs/>
          <w:snapToGrid w:val="0"/>
          <w:kern w:val="0"/>
          <w:sz w:val="44"/>
          <w:szCs w:val="44"/>
        </w:rPr>
        <w:t>需</w:t>
      </w:r>
      <w:r>
        <w:rPr>
          <w:rFonts w:ascii="方正小标宋_GBK" w:eastAsia="方正小标宋_GBK" w:hint="eastAsia"/>
          <w:snapToGrid w:val="0"/>
          <w:kern w:val="0"/>
          <w:sz w:val="44"/>
          <w:szCs w:val="44"/>
        </w:rPr>
        <w:t>审批进境的动植物及其产品、特殊货物物品</w:t>
      </w:r>
    </w:p>
    <w:p>
      <w:pPr>
        <w:pStyle w:val="27"/>
        <w:tabs>
          <w:tab w:val="left" w:pos="2395"/>
        </w:tabs>
        <w:spacing w:line="560" w:lineRule="exact"/>
        <w:jc w:val="center"/>
        <w:rPr>
          <w:rFonts w:eastAsia="方正小标宋_GBK"/>
          <w:snapToGrid w:val="0"/>
          <w:kern w:val="0"/>
          <w:sz w:val="44"/>
          <w:szCs w:val="44"/>
        </w:rPr>
      </w:pPr>
      <w:r>
        <w:rPr>
          <w:rFonts w:eastAsia="方正小标宋_GBK"/>
          <w:snapToGrid w:val="0"/>
          <w:kern w:val="0"/>
          <w:sz w:val="44"/>
          <w:szCs w:val="44"/>
        </w:rPr>
        <w:t>Animals, Plants, and Their Products, and Special Articles Requiring Entry Approval</w:t>
      </w:r>
    </w:p>
    <w:p>
      <w:pPr>
        <w:pStyle w:val="27"/>
        <w:tabs>
          <w:tab w:val="left" w:pos="2395"/>
        </w:tabs>
        <w:spacing w:line="560" w:lineRule="exact"/>
        <w:jc w:val="center"/>
        <w:rPr>
          <w:rFonts w:ascii="方正小标宋_GBK" w:eastAsia="方正小标宋_GBK"/>
          <w:snapToGrid w:val="0"/>
          <w:kern w:val="0"/>
          <w:sz w:val="44"/>
          <w:szCs w:val="44"/>
        </w:rPr>
      </w:pPr>
    </w:p>
    <w:tbl>
      <w:tblPr>
        <w:jc w:val="left"/>
        <w:tblInd w:w="0" w:type="dxa"/>
        <w:tblW w:w="9060"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666"/>
        <w:gridCol w:w="7394"/>
      </w:tblGrid>
      <w:tr>
        <w:tc>
          <w:tcPr>
            <w:tcW w:w="1666" w:type="dxa"/>
            <w:tcBorders>
              <w:top w:val="single" w:sz="4" w:space="0" w:color="auto"/>
              <w:left w:val="single" w:sz="4" w:space="0" w:color="auto"/>
              <w:bottom w:val="single" w:sz="4" w:space="0" w:color="auto"/>
              <w:right w:val="single" w:sz="4" w:space="0" w:color="auto"/>
            </w:tcBorders>
          </w:tcPr>
          <w:p>
            <w:pPr>
              <w:pStyle w:val="28"/>
              <w:autoSpaceDE w:val="0"/>
              <w:autoSpaceDN w:val="0"/>
              <w:adjustRightInd w:val="0"/>
              <w:spacing w:line="560" w:lineRule="exact"/>
              <w:jc w:val="left"/>
              <w:rPr>
                <w:rFonts w:eastAsia="方正黑体_GBK" w:cs="Courier New"/>
                <w:snapToGrid w:val="0"/>
                <w:kern w:val="0"/>
                <w:sz w:val="32"/>
                <w:szCs w:val="32"/>
              </w:rPr>
            </w:pPr>
          </w:p>
          <w:p>
            <w:pPr>
              <w:pStyle w:val="28"/>
              <w:autoSpaceDE w:val="0"/>
              <w:autoSpaceDN w:val="0"/>
              <w:adjustRightInd w:val="0"/>
              <w:spacing w:line="560" w:lineRule="exact"/>
              <w:jc w:val="left"/>
              <w:rPr>
                <w:rFonts w:eastAsia="方正黑体_GBK" w:cs="Courier New"/>
                <w:snapToGrid w:val="0"/>
                <w:kern w:val="0"/>
                <w:sz w:val="32"/>
                <w:szCs w:val="32"/>
              </w:rPr>
            </w:pPr>
          </w:p>
          <w:p>
            <w:pPr>
              <w:pStyle w:val="28"/>
              <w:autoSpaceDE w:val="0"/>
              <w:autoSpaceDN w:val="0"/>
              <w:adjustRightInd w:val="0"/>
              <w:spacing w:line="560" w:lineRule="exact"/>
              <w:jc w:val="left"/>
              <w:rPr>
                <w:rFonts w:eastAsia="方正黑体_GBK" w:cs="Courier New"/>
                <w:snapToGrid w:val="0"/>
                <w:kern w:val="0"/>
                <w:sz w:val="32"/>
                <w:szCs w:val="32"/>
              </w:rPr>
            </w:pPr>
          </w:p>
          <w:p>
            <w:pPr>
              <w:pStyle w:val="28"/>
              <w:autoSpaceDE w:val="0"/>
              <w:autoSpaceDN w:val="0"/>
              <w:adjustRightInd w:val="0"/>
              <w:spacing w:line="560" w:lineRule="exact"/>
              <w:jc w:val="left"/>
              <w:rPr>
                <w:rFonts w:eastAsia="方正黑体_GBK" w:cs="Courier New"/>
                <w:snapToGrid w:val="0"/>
                <w:kern w:val="0"/>
                <w:sz w:val="32"/>
                <w:szCs w:val="32"/>
              </w:rPr>
            </w:pPr>
          </w:p>
          <w:p>
            <w:pPr>
              <w:pStyle w:val="28"/>
              <w:autoSpaceDE w:val="0"/>
              <w:autoSpaceDN w:val="0"/>
              <w:adjustRightInd w:val="0"/>
              <w:spacing w:line="560" w:lineRule="exact"/>
              <w:jc w:val="left"/>
              <w:rPr>
                <w:rFonts w:eastAsia="方正黑体_GBK" w:cs="Courier New"/>
                <w:snapToGrid w:val="0"/>
                <w:kern w:val="0"/>
                <w:sz w:val="32"/>
                <w:szCs w:val="32"/>
              </w:rPr>
            </w:pPr>
          </w:p>
          <w:p>
            <w:pPr>
              <w:pStyle w:val="28"/>
              <w:autoSpaceDE w:val="0"/>
              <w:autoSpaceDN w:val="0"/>
              <w:adjustRightInd w:val="0"/>
              <w:spacing w:line="560" w:lineRule="exact"/>
              <w:jc w:val="left"/>
              <w:rPr>
                <w:rFonts w:eastAsia="方正黑体_GBK" w:cs="Courier New"/>
                <w:snapToGrid w:val="0"/>
                <w:kern w:val="0"/>
                <w:sz w:val="32"/>
                <w:szCs w:val="32"/>
              </w:rPr>
            </w:pPr>
            <w:r>
              <w:rPr>
                <w:rFonts w:eastAsia="方正黑体_GBK" w:cs="Courier New" w:hint="eastAsia"/>
                <w:snapToGrid w:val="0"/>
                <w:kern w:val="0"/>
                <w:sz w:val="32"/>
                <w:szCs w:val="32"/>
              </w:rPr>
              <w:t>一、动物及动物产品</w:t>
            </w:r>
          </w:p>
          <w:p>
            <w:pPr>
              <w:pStyle w:val="28"/>
              <w:autoSpaceDE w:val="0"/>
              <w:autoSpaceDN w:val="0"/>
              <w:adjustRightInd w:val="0"/>
              <w:spacing w:line="560" w:lineRule="exact"/>
              <w:jc w:val="left"/>
              <w:rPr>
                <w:rFonts w:eastAsia="方正黑体_GBK" w:cs="Courier New"/>
                <w:snapToGrid w:val="0"/>
                <w:kern w:val="0"/>
                <w:sz w:val="32"/>
                <w:szCs w:val="32"/>
              </w:rPr>
            </w:pPr>
            <w:r>
              <w:rPr>
                <w:rFonts w:eastAsia="方正黑体_GBK" w:cs="Courier New"/>
                <w:snapToGrid w:val="0"/>
                <w:kern w:val="0"/>
                <w:sz w:val="32"/>
                <w:szCs w:val="32"/>
              </w:rPr>
              <w:t>I. Animals and Animal Products</w:t>
            </w:r>
          </w:p>
        </w:tc>
        <w:tc>
          <w:tcPr>
            <w:tcW w:w="7394" w:type="dxa"/>
            <w:tcBorders>
              <w:top w:val="single" w:sz="4" w:space="0" w:color="auto"/>
              <w:left w:val="single" w:sz="4" w:space="0" w:color="auto"/>
              <w:bottom w:val="single" w:sz="4" w:space="0" w:color="auto"/>
              <w:right w:val="single" w:sz="4" w:space="0" w:color="auto"/>
            </w:tcBorders>
          </w:tcPr>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hint="eastAsia"/>
                <w:snapToGrid w:val="0"/>
                <w:spacing w:val="-4"/>
                <w:kern w:val="0"/>
                <w:sz w:val="32"/>
                <w:szCs w:val="32"/>
              </w:rPr>
              <w:t>a.活动物及活动物胚胎、精液、受精卵、种蛋及其他动物遗传物质；</w:t>
            </w:r>
          </w:p>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snapToGrid w:val="0"/>
                <w:spacing w:val="-4"/>
                <w:kern w:val="0"/>
                <w:sz w:val="32"/>
                <w:szCs w:val="32"/>
              </w:rPr>
              <w:t>a. Live animals and their embryos, semen, fertilized eggs, breeding eggs, and other animal genetic materials;</w:t>
            </w:r>
          </w:p>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hint="eastAsia"/>
                <w:snapToGrid w:val="0"/>
                <w:spacing w:val="-4"/>
                <w:kern w:val="0"/>
                <w:sz w:val="32"/>
                <w:szCs w:val="32"/>
              </w:rPr>
              <w:t>b.生物材料：详见海关总署</w:t>
            </w:r>
            <w:r>
              <w:rPr>
                <w:rFonts w:eastAsia="方正仿宋_GBK" w:cs="Courier New"/>
                <w:snapToGrid w:val="0"/>
                <w:spacing w:val="-4"/>
                <w:kern w:val="0"/>
                <w:sz w:val="32"/>
                <w:szCs w:val="32"/>
              </w:rPr>
              <w:t>《</w:t>
            </w:r>
            <w:r>
              <w:rPr>
                <w:rFonts w:eastAsia="方正仿宋_GBK" w:cs="Courier New" w:hint="eastAsia"/>
                <w:snapToGrid w:val="0"/>
                <w:spacing w:val="-4"/>
                <w:kern w:val="0"/>
                <w:sz w:val="32"/>
                <w:szCs w:val="32"/>
              </w:rPr>
              <w:t>关于科学完善进出境生物材料检疫监管措施的公告</w:t>
            </w:r>
            <w:r>
              <w:rPr>
                <w:rFonts w:eastAsia="方正仿宋_GBK" w:cs="Courier New"/>
                <w:snapToGrid w:val="0"/>
                <w:spacing w:val="-4"/>
                <w:kern w:val="0"/>
                <w:sz w:val="32"/>
                <w:szCs w:val="32"/>
              </w:rPr>
              <w:t>》</w:t>
            </w:r>
            <w:r>
              <w:rPr>
                <w:rFonts w:eastAsia="方正仿宋_GBK" w:cs="Courier New" w:hint="eastAsia"/>
                <w:snapToGrid w:val="0"/>
                <w:spacing w:val="-4"/>
                <w:kern w:val="0"/>
                <w:sz w:val="32"/>
                <w:szCs w:val="32"/>
              </w:rPr>
              <w:t>（</w:t>
            </w:r>
            <w:r>
              <w:rPr>
                <w:rFonts w:eastAsia="方正仿宋_GBK" w:cs="Courier New"/>
                <w:snapToGrid w:val="0"/>
                <w:spacing w:val="-4"/>
                <w:kern w:val="0"/>
                <w:sz w:val="32"/>
                <w:szCs w:val="32"/>
              </w:rPr>
              <w:t>海关总署公告2025年第254号</w:t>
            </w:r>
            <w:r>
              <w:rPr>
                <w:rFonts w:eastAsia="方正仿宋_GBK" w:cs="Courier New" w:hint="eastAsia"/>
                <w:snapToGrid w:val="0"/>
                <w:spacing w:val="-4"/>
                <w:kern w:val="0"/>
                <w:sz w:val="32"/>
                <w:szCs w:val="32"/>
              </w:rPr>
              <w:t>）；</w:t>
            </w:r>
          </w:p>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snapToGrid w:val="0"/>
                <w:spacing w:val="-4"/>
                <w:kern w:val="0"/>
                <w:sz w:val="32"/>
                <w:szCs w:val="32"/>
              </w:rPr>
              <w:t xml:space="preserve">b. Biological materials: refer to the </w:t>
            </w:r>
            <w:r>
              <w:rPr>
                <w:rFonts w:eastAsia="方正仿宋_GBK" w:cs="Courier New"/>
                <w:i/>
                <w:iCs/>
                <w:snapToGrid w:val="0"/>
                <w:spacing w:val="-4"/>
                <w:kern w:val="0"/>
                <w:sz w:val="32"/>
                <w:szCs w:val="32"/>
              </w:rPr>
              <w:t>Announcement of the General Administration of Customs on Scientifically Improving Quarantine and Supervision Measures for Import and Export Biological Materials</w:t>
            </w:r>
            <w:r>
              <w:rPr>
                <w:rFonts w:eastAsia="方正仿宋_GBK" w:cs="Courier New"/>
                <w:snapToGrid w:val="0"/>
                <w:spacing w:val="-4"/>
                <w:kern w:val="0"/>
                <w:sz w:val="32"/>
                <w:szCs w:val="32"/>
              </w:rPr>
              <w:t xml:space="preserve"> (GAC Announcement No. 254 of 2025);</w:t>
            </w:r>
          </w:p>
          <w:p>
            <w:pPr>
              <w:pStyle w:val="29"/>
              <w:autoSpaceDE w:val="0"/>
              <w:autoSpaceDN w:val="0"/>
              <w:adjustRightInd w:val="0"/>
              <w:spacing w:line="560" w:lineRule="exact"/>
              <w:rPr>
                <w:rFonts w:eastAsia="方正仿宋_GBK"/>
                <w:snapToGrid w:val="0"/>
                <w:spacing w:val="-4"/>
                <w:kern w:val="0"/>
                <w:sz w:val="32"/>
                <w:szCs w:val="32"/>
              </w:rPr>
            </w:pPr>
            <w:r>
              <w:rPr>
                <w:rFonts w:eastAsia="方正仿宋_GBK" w:cs="Courier New" w:hint="eastAsia"/>
                <w:snapToGrid w:val="0"/>
                <w:spacing w:val="-4"/>
                <w:kern w:val="0"/>
                <w:sz w:val="32"/>
                <w:szCs w:val="32"/>
              </w:rPr>
              <w:t>c.食用性动物产品：</w:t>
            </w:r>
            <w:r>
              <w:rPr>
                <w:rFonts w:eastAsia="方正仿宋_GBK" w:hint="eastAsia"/>
                <w:snapToGrid w:val="0"/>
                <w:spacing w:val="-4"/>
                <w:kern w:val="0"/>
                <w:sz w:val="32"/>
                <w:szCs w:val="32"/>
              </w:rPr>
              <w:t>肉类产品（熟制、腌制肉类除外）、鲜蛋；</w:t>
            </w:r>
          </w:p>
          <w:p>
            <w:pPr>
              <w:pStyle w:val="29"/>
              <w:autoSpaceDE w:val="0"/>
              <w:autoSpaceDN w:val="0"/>
              <w:adjustRightInd w:val="0"/>
              <w:spacing w:line="560" w:lineRule="exact"/>
              <w:rPr>
                <w:rFonts w:eastAsia="方正仿宋_GBK"/>
                <w:snapToGrid w:val="0"/>
                <w:spacing w:val="-4"/>
                <w:kern w:val="0"/>
                <w:sz w:val="32"/>
                <w:szCs w:val="32"/>
              </w:rPr>
            </w:pPr>
            <w:r>
              <w:rPr>
                <w:rFonts w:eastAsia="方正仿宋_GBK"/>
                <w:snapToGrid w:val="0"/>
                <w:spacing w:val="-4"/>
                <w:kern w:val="0"/>
                <w:sz w:val="32"/>
                <w:szCs w:val="32"/>
              </w:rPr>
              <w:t>c. Edible animal products: meat and its products (excluding cooked and cured meats), fresh eggs;</w:t>
            </w:r>
          </w:p>
          <w:p>
            <w:pPr>
              <w:pStyle w:val="30"/>
              <w:autoSpaceDE w:val="0"/>
              <w:autoSpaceDN w:val="0"/>
              <w:adjustRightInd w:val="0"/>
              <w:spacing w:line="560" w:lineRule="exact"/>
              <w:ind w:right="143"/>
              <w:rPr>
                <w:rFonts w:eastAsia="方正仿宋_GBK" w:cs="Courier New"/>
                <w:snapToGrid w:val="0"/>
                <w:spacing w:val="-4"/>
                <w:kern w:val="0"/>
                <w:sz w:val="32"/>
                <w:szCs w:val="32"/>
              </w:rPr>
            </w:pPr>
            <w:r>
              <w:rPr>
                <w:rFonts w:eastAsia="方正仿宋_GBK" w:cs="Courier New" w:hint="eastAsia"/>
                <w:snapToGrid w:val="0"/>
                <w:spacing w:val="-4"/>
                <w:kern w:val="0"/>
                <w:sz w:val="32"/>
                <w:szCs w:val="32"/>
              </w:rPr>
              <w:t>d.非食用性动物产品：详见海关总署</w:t>
            </w:r>
            <w:r>
              <w:rPr>
                <w:rFonts w:eastAsia="方正仿宋_GBK" w:cs="Courier New"/>
                <w:snapToGrid w:val="0"/>
                <w:spacing w:val="-4"/>
                <w:kern w:val="0"/>
                <w:sz w:val="32"/>
                <w:szCs w:val="32"/>
              </w:rPr>
              <w:t>《</w:t>
            </w:r>
            <w:r>
              <w:rPr>
                <w:rFonts w:eastAsia="方正仿宋_GBK" w:cs="Courier New" w:hint="eastAsia"/>
                <w:snapToGrid w:val="0"/>
                <w:spacing w:val="-4"/>
                <w:kern w:val="0"/>
                <w:sz w:val="32"/>
                <w:szCs w:val="32"/>
              </w:rPr>
              <w:t>关于优化进境非食用动物产品风险级别及检验检疫监管措施的公告</w:t>
            </w:r>
            <w:r>
              <w:rPr>
                <w:rFonts w:eastAsia="方正仿宋_GBK" w:cs="Courier New"/>
                <w:snapToGrid w:val="0"/>
                <w:spacing w:val="-4"/>
                <w:kern w:val="0"/>
                <w:sz w:val="32"/>
                <w:szCs w:val="32"/>
              </w:rPr>
              <w:t>》</w:t>
            </w:r>
            <w:r>
              <w:rPr>
                <w:rFonts w:eastAsia="方正仿宋_GBK" w:cs="Courier New" w:hint="eastAsia"/>
                <w:snapToGrid w:val="0"/>
                <w:spacing w:val="-4"/>
                <w:kern w:val="0"/>
                <w:sz w:val="32"/>
                <w:szCs w:val="32"/>
              </w:rPr>
              <w:t>（</w:t>
            </w:r>
            <w:r>
              <w:rPr>
                <w:rFonts w:eastAsia="方正仿宋_GBK" w:cs="Courier New"/>
                <w:snapToGrid w:val="0"/>
                <w:spacing w:val="-4"/>
                <w:kern w:val="0"/>
                <w:sz w:val="32"/>
                <w:szCs w:val="32"/>
              </w:rPr>
              <w:t>海关总署公告2024年第208号</w:t>
            </w:r>
            <w:r>
              <w:rPr>
                <w:rFonts w:eastAsia="方正仿宋_GBK" w:cs="Courier New" w:hint="eastAsia"/>
                <w:snapToGrid w:val="0"/>
                <w:spacing w:val="-4"/>
                <w:kern w:val="0"/>
                <w:sz w:val="32"/>
                <w:szCs w:val="32"/>
              </w:rPr>
              <w:t>）</w:t>
            </w:r>
            <w:r>
              <w:rPr>
                <w:rFonts w:eastAsia="方正仿宋_GBK" w:cs="Courier New"/>
                <w:snapToGrid w:val="0"/>
                <w:spacing w:val="-4"/>
                <w:kern w:val="0"/>
                <w:sz w:val="32"/>
                <w:szCs w:val="32"/>
              </w:rPr>
              <w:t>；</w:t>
            </w:r>
          </w:p>
          <w:p>
            <w:pPr>
              <w:pStyle w:val="30"/>
              <w:autoSpaceDE w:val="0"/>
              <w:autoSpaceDN w:val="0"/>
              <w:adjustRightInd w:val="0"/>
              <w:spacing w:line="560" w:lineRule="exact"/>
              <w:ind w:right="143"/>
              <w:rPr>
                <w:rFonts w:eastAsia="方正仿宋_GBK" w:cs="Courier New"/>
                <w:snapToGrid w:val="0"/>
                <w:spacing w:val="-4"/>
                <w:kern w:val="0"/>
                <w:sz w:val="32"/>
                <w:szCs w:val="32"/>
              </w:rPr>
            </w:pPr>
            <w:r>
              <w:rPr>
                <w:rFonts w:eastAsia="方正仿宋_GBK" w:cs="Courier New"/>
                <w:snapToGrid w:val="0"/>
                <w:spacing w:val="-4"/>
                <w:kern w:val="0"/>
                <w:sz w:val="32"/>
                <w:szCs w:val="32"/>
              </w:rPr>
              <w:t xml:space="preserve">d. Non-edible animal products: refer to the </w:t>
            </w:r>
            <w:r>
              <w:rPr>
                <w:rFonts w:eastAsia="方正仿宋_GBK" w:cs="Courier New"/>
                <w:i/>
                <w:iCs/>
                <w:snapToGrid w:val="0"/>
                <w:spacing w:val="-4"/>
                <w:kern w:val="0"/>
                <w:sz w:val="32"/>
                <w:szCs w:val="32"/>
              </w:rPr>
              <w:t>Announcement of the General Administration of Customs on</w:t>
            </w:r>
            <w:r>
              <w:rPr>
                <w:rFonts w:eastAsia="方正仿宋_GBK" w:cs="Courier New"/>
                <w:snapToGrid w:val="0"/>
                <w:spacing w:val="-4"/>
                <w:kern w:val="0"/>
                <w:sz w:val="32"/>
                <w:szCs w:val="32"/>
              </w:rPr>
              <w:t xml:space="preserve"> </w:t>
            </w:r>
            <w:r>
              <w:rPr>
                <w:rFonts w:eastAsia="方正仿宋_GBK" w:cs="Courier New"/>
                <w:i/>
                <w:iCs/>
                <w:snapToGrid w:val="0"/>
                <w:spacing w:val="-4"/>
                <w:kern w:val="0"/>
                <w:sz w:val="32"/>
                <w:szCs w:val="32"/>
              </w:rPr>
              <w:t>Optimizing the Risk Levels and Inspection and Quarantine Supervision Measures for Imported Non-edible Animal Products</w:t>
            </w:r>
            <w:r>
              <w:rPr>
                <w:rFonts w:eastAsia="方正仿宋_GBK" w:cs="Courier New"/>
                <w:snapToGrid w:val="0"/>
                <w:spacing w:val="-4"/>
                <w:kern w:val="0"/>
                <w:sz w:val="32"/>
                <w:szCs w:val="32"/>
              </w:rPr>
              <w:t xml:space="preserve"> (GAC Announcement No. 208 of 2024);</w:t>
            </w:r>
          </w:p>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hint="eastAsia"/>
                <w:snapToGrid w:val="0"/>
                <w:spacing w:val="-4"/>
                <w:kern w:val="0"/>
                <w:sz w:val="32"/>
                <w:szCs w:val="32"/>
              </w:rPr>
              <w:t>e.饲料产品：配合饲料、</w:t>
            </w:r>
            <w:r>
              <w:rPr>
                <w:rFonts w:eastAsia="方正仿宋_GBK" w:cs="Courier New"/>
                <w:snapToGrid w:val="0"/>
                <w:spacing w:val="-4"/>
                <w:kern w:val="0"/>
                <w:sz w:val="32"/>
                <w:szCs w:val="32"/>
              </w:rPr>
              <w:t>浓缩饲料、精料补充料、饵料用活动物、添加剂预混合饲料（含动物源性成份）；</w:t>
            </w:r>
            <w:r>
              <w:rPr>
                <w:rFonts w:eastAsia="方正仿宋_GBK" w:cs="Courier New" w:hint="eastAsia"/>
                <w:snapToGrid w:val="0"/>
                <w:spacing w:val="-4"/>
                <w:kern w:val="0"/>
                <w:sz w:val="32"/>
                <w:szCs w:val="32"/>
              </w:rPr>
              <w:t>饲料用（含饵料用）冰鲜冷冻</w:t>
            </w:r>
            <w:r>
              <w:rPr>
                <w:rFonts w:eastAsia="方正仿宋_GBK" w:cs="Courier New"/>
                <w:snapToGrid w:val="0"/>
                <w:spacing w:val="-4"/>
                <w:kern w:val="0"/>
                <w:sz w:val="32"/>
                <w:szCs w:val="32"/>
              </w:rPr>
              <w:t>陆生</w:t>
            </w:r>
            <w:r>
              <w:rPr>
                <w:rFonts w:eastAsia="方正仿宋_GBK" w:cs="Courier New" w:hint="eastAsia"/>
                <w:snapToGrid w:val="0"/>
                <w:spacing w:val="-4"/>
                <w:kern w:val="0"/>
                <w:sz w:val="32"/>
                <w:szCs w:val="32"/>
              </w:rPr>
              <w:t>动物产品、加工动物蛋白及油脂</w:t>
            </w:r>
            <w:r>
              <w:rPr>
                <w:rFonts w:eastAsia="方正仿宋_GBK" w:cs="Courier New"/>
                <w:snapToGrid w:val="0"/>
                <w:spacing w:val="-4"/>
                <w:kern w:val="0"/>
                <w:sz w:val="32"/>
                <w:szCs w:val="32"/>
              </w:rPr>
              <w:t>（鱼粉、鱼油、水产渣粉、乳粉、乳清粉、明胶除外）</w:t>
            </w:r>
            <w:r>
              <w:rPr>
                <w:rFonts w:eastAsia="方正仿宋_GBK" w:cs="Courier New" w:hint="eastAsia"/>
                <w:snapToGrid w:val="0"/>
                <w:spacing w:val="-4"/>
                <w:kern w:val="0"/>
                <w:sz w:val="32"/>
                <w:szCs w:val="32"/>
              </w:rPr>
              <w:t>、宠物食品和咬胶（罐头除外）</w:t>
            </w:r>
            <w:r>
              <w:rPr>
                <w:rFonts w:eastAsia="方正仿宋_GBK" w:cs="Courier New"/>
                <w:snapToGrid w:val="0"/>
                <w:spacing w:val="-4"/>
                <w:kern w:val="0"/>
                <w:sz w:val="32"/>
                <w:szCs w:val="32"/>
              </w:rPr>
              <w:t>；</w:t>
            </w:r>
          </w:p>
          <w:p>
            <w:pPr>
              <w:pStyle w:val="28"/>
              <w:autoSpaceDE w:val="0"/>
              <w:autoSpaceDN w:val="0"/>
              <w:adjustRightInd w:val="0"/>
              <w:spacing w:line="560" w:lineRule="exact"/>
              <w:rPr>
                <w:rFonts w:eastAsia="方正仿宋_GBK" w:cs="Courier New" w:hint="eastAsia"/>
                <w:snapToGrid w:val="0"/>
                <w:spacing w:val="-4"/>
                <w:kern w:val="0"/>
                <w:sz w:val="32"/>
                <w:szCs w:val="32"/>
              </w:rPr>
            </w:pPr>
            <w:r>
              <w:rPr>
                <w:rFonts w:eastAsia="方正仿宋_GBK" w:cs="Courier New"/>
                <w:snapToGrid w:val="0"/>
                <w:spacing w:val="-4"/>
                <w:kern w:val="0"/>
                <w:sz w:val="32"/>
                <w:szCs w:val="32"/>
              </w:rPr>
              <w:t>e. Feed products：compound feed, concentrated feed, supplementary concentrate, live animals for bait, premixed feed additives (including animal-derived ingredients), feed-grade (including bait-grade) chilled and frozen terrestrial animal products, processed animal protein and fats (excluding fishmeal, fish oil, aquatic residue powder, milk powder, whey powder, and gelatin), pet foods and chews (excluding canned products);</w:t>
            </w:r>
          </w:p>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hint="eastAsia"/>
                <w:snapToGrid w:val="0"/>
                <w:spacing w:val="-4"/>
                <w:kern w:val="0"/>
                <w:sz w:val="32"/>
                <w:szCs w:val="32"/>
              </w:rPr>
              <w:t>f.动物源性中药材：鹿茸、鹿角、蛤蚧、地龙、乌梢蛇、牛黄。</w:t>
            </w:r>
          </w:p>
          <w:p>
            <w:pPr>
              <w:pStyle w:val="28"/>
              <w:autoSpaceDE w:val="0"/>
              <w:autoSpaceDN w:val="0"/>
              <w:adjustRightInd w:val="0"/>
              <w:spacing w:line="560" w:lineRule="exact"/>
              <w:rPr>
                <w:spacing w:val="-4"/>
              </w:rPr>
            </w:pPr>
            <w:r>
              <w:rPr>
                <w:rFonts w:eastAsia="方正仿宋_GBK" w:cs="Courier New"/>
                <w:snapToGrid w:val="0"/>
                <w:spacing w:val="-4"/>
                <w:kern w:val="0"/>
                <w:sz w:val="32"/>
                <w:szCs w:val="32"/>
              </w:rPr>
              <w:t>f. Animal-derived traditional Chinese medicinal materials: Pilose antler, Antler, Giant gecko, Earthworm, Zaocys dhumnades, and Bezoar.</w:t>
            </w:r>
          </w:p>
        </w:tc>
      </w:tr>
      <w:tr>
        <w:tc>
          <w:tcPr>
            <w:tcW w:w="1666" w:type="dxa"/>
            <w:tcBorders>
              <w:top w:val="single" w:sz="4" w:space="0" w:color="auto"/>
              <w:left w:val="single" w:sz="4" w:space="0" w:color="auto"/>
              <w:bottom w:val="single" w:sz="4" w:space="0" w:color="auto"/>
              <w:right w:val="single" w:sz="4" w:space="0" w:color="auto"/>
            </w:tcBorders>
          </w:tcPr>
          <w:p>
            <w:pPr>
              <w:pStyle w:val="28"/>
              <w:adjustRightInd w:val="0"/>
              <w:snapToGrid w:val="0"/>
              <w:spacing w:line="560" w:lineRule="exact"/>
              <w:jc w:val="left"/>
              <w:rPr>
                <w:rFonts w:eastAsia="方正黑体_GBK" w:cs="Courier New"/>
                <w:snapToGrid w:val="0"/>
                <w:kern w:val="0"/>
                <w:sz w:val="32"/>
                <w:szCs w:val="32"/>
              </w:rPr>
            </w:pPr>
          </w:p>
          <w:p>
            <w:pPr>
              <w:pStyle w:val="28"/>
              <w:adjustRightInd w:val="0"/>
              <w:snapToGrid w:val="0"/>
              <w:spacing w:line="560" w:lineRule="exact"/>
              <w:jc w:val="left"/>
              <w:rPr>
                <w:rFonts w:eastAsia="方正黑体_GBK" w:cs="Courier New"/>
                <w:snapToGrid w:val="0"/>
                <w:kern w:val="0"/>
                <w:sz w:val="32"/>
                <w:szCs w:val="32"/>
              </w:rPr>
            </w:pPr>
          </w:p>
          <w:p>
            <w:pPr>
              <w:pStyle w:val="28"/>
              <w:adjustRightInd w:val="0"/>
              <w:snapToGrid w:val="0"/>
              <w:spacing w:line="560" w:lineRule="exact"/>
              <w:jc w:val="left"/>
              <w:rPr>
                <w:rFonts w:eastAsia="方正黑体_GBK" w:cs="Courier New"/>
                <w:snapToGrid w:val="0"/>
                <w:kern w:val="0"/>
                <w:sz w:val="32"/>
                <w:szCs w:val="32"/>
              </w:rPr>
            </w:pPr>
            <w:r>
              <w:rPr>
                <w:rFonts w:eastAsia="方正黑体_GBK" w:cs="Courier New" w:hint="eastAsia"/>
                <w:snapToGrid w:val="0"/>
                <w:kern w:val="0"/>
                <w:sz w:val="32"/>
                <w:szCs w:val="32"/>
              </w:rPr>
              <w:t>二、植物及植物产品</w:t>
            </w:r>
          </w:p>
          <w:p>
            <w:pPr>
              <w:pStyle w:val="28"/>
              <w:adjustRightInd w:val="0"/>
              <w:snapToGrid w:val="0"/>
              <w:spacing w:line="560" w:lineRule="exact"/>
              <w:jc w:val="left"/>
              <w:rPr>
                <w:rFonts w:eastAsia="方正小标宋_GBK"/>
                <w:snapToGrid w:val="0"/>
                <w:kern w:val="0"/>
                <w:sz w:val="32"/>
                <w:szCs w:val="32"/>
              </w:rPr>
            </w:pPr>
            <w:r>
              <w:rPr>
                <w:rFonts w:eastAsia="方正小标宋_GBK"/>
                <w:snapToGrid w:val="0"/>
                <w:kern w:val="0"/>
                <w:sz w:val="32"/>
                <w:szCs w:val="32"/>
              </w:rPr>
              <w:t>II. Plants and Plant Products</w:t>
            </w:r>
          </w:p>
        </w:tc>
        <w:tc>
          <w:tcPr>
            <w:tcW w:w="7394" w:type="dxa"/>
            <w:tcBorders>
              <w:top w:val="single" w:sz="4" w:space="0" w:color="auto"/>
              <w:left w:val="single" w:sz="4" w:space="0" w:color="auto"/>
              <w:bottom w:val="single" w:sz="4" w:space="0" w:color="auto"/>
              <w:right w:val="single" w:sz="4" w:space="0" w:color="auto"/>
            </w:tcBorders>
          </w:tcPr>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hint="eastAsia"/>
                <w:snapToGrid w:val="0"/>
                <w:spacing w:val="-4"/>
                <w:kern w:val="0"/>
                <w:sz w:val="32"/>
                <w:szCs w:val="32"/>
              </w:rPr>
              <w:t>a.种子、苗木及其他植物繁殖材料；</w:t>
            </w:r>
          </w:p>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snapToGrid w:val="0"/>
                <w:spacing w:val="-4"/>
                <w:kern w:val="0"/>
                <w:sz w:val="32"/>
                <w:szCs w:val="32"/>
              </w:rPr>
              <w:t>a. Seeds, seedlings, and other plant propagation materials;</w:t>
            </w:r>
          </w:p>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hint="eastAsia"/>
                <w:snapToGrid w:val="0"/>
                <w:spacing w:val="-4"/>
                <w:kern w:val="0"/>
                <w:sz w:val="32"/>
                <w:szCs w:val="32"/>
              </w:rPr>
              <w:t>b.果蔬类：新鲜水果；</w:t>
            </w:r>
          </w:p>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snapToGrid w:val="0"/>
                <w:spacing w:val="-4"/>
                <w:kern w:val="0"/>
                <w:sz w:val="32"/>
                <w:szCs w:val="32"/>
              </w:rPr>
              <w:t>b. Fruits and vegetables: fresh fruits;</w:t>
            </w:r>
          </w:p>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hint="eastAsia"/>
                <w:snapToGrid w:val="0"/>
                <w:spacing w:val="-4"/>
                <w:kern w:val="0"/>
                <w:sz w:val="32"/>
                <w:szCs w:val="32"/>
              </w:rPr>
              <w:t>c.粮谷类：小麦、玉米、稻谷、大麦、黑麦、燕麦、高粱、</w:t>
            </w:r>
            <w:r>
              <w:rPr>
                <w:rFonts w:eastAsia="方正仿宋_GBK" w:cs="Courier New" w:hint="eastAsia"/>
                <w:snapToGrid w:val="0"/>
                <w:color w:val="000000"/>
                <w:spacing w:val="-4"/>
                <w:kern w:val="0"/>
                <w:sz w:val="32"/>
                <w:szCs w:val="32"/>
              </w:rPr>
              <w:t>油菜籽</w:t>
            </w:r>
            <w:r>
              <w:rPr>
                <w:rFonts w:eastAsia="方正仿宋_GBK" w:cs="Courier New" w:hint="eastAsia"/>
                <w:snapToGrid w:val="0"/>
                <w:spacing w:val="-4"/>
                <w:kern w:val="0"/>
                <w:sz w:val="32"/>
                <w:szCs w:val="32"/>
              </w:rPr>
              <w:t>以及其他杂粮类等；</w:t>
            </w:r>
          </w:p>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snapToGrid w:val="0"/>
                <w:spacing w:val="-4"/>
                <w:kern w:val="0"/>
                <w:sz w:val="32"/>
                <w:szCs w:val="32"/>
              </w:rPr>
              <w:t>c. Cereals: wheat, corn, rice, barley, rye, oats, sorghum, rapeseed, and other miscellaneous grains;</w:t>
            </w:r>
          </w:p>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hint="eastAsia"/>
                <w:snapToGrid w:val="0"/>
                <w:spacing w:val="-4"/>
                <w:kern w:val="0"/>
                <w:sz w:val="32"/>
                <w:szCs w:val="32"/>
              </w:rPr>
              <w:t>d.豆类：大豆、绿豆、豌豆、赤豆、蚕豆、鹰嘴豆以及其他杂豆类等；</w:t>
            </w:r>
          </w:p>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snapToGrid w:val="0"/>
                <w:spacing w:val="-4"/>
                <w:kern w:val="0"/>
                <w:sz w:val="32"/>
                <w:szCs w:val="32"/>
              </w:rPr>
              <w:t>d. Legumes: soybeans, mung beans, peas, adzuki beans, broad beans, chickpeas, and other miscellaneous beans;</w:t>
            </w:r>
          </w:p>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hint="eastAsia"/>
                <w:snapToGrid w:val="0"/>
                <w:spacing w:val="-4"/>
                <w:kern w:val="0"/>
                <w:sz w:val="32"/>
                <w:szCs w:val="32"/>
              </w:rPr>
              <w:t>e.薯类：马铃薯、木薯、甘薯等；</w:t>
            </w:r>
          </w:p>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snapToGrid w:val="0"/>
                <w:spacing w:val="-4"/>
                <w:kern w:val="0"/>
                <w:sz w:val="32"/>
                <w:szCs w:val="32"/>
              </w:rPr>
              <w:t>e. Tubers: potatoes, cassava, sweet potatoes, etc.</w:t>
            </w:r>
          </w:p>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snapToGrid w:val="0"/>
                <w:spacing w:val="-4"/>
                <w:kern w:val="0"/>
                <w:sz w:val="32"/>
                <w:szCs w:val="32"/>
              </w:rPr>
              <w:t>f.</w:t>
            </w:r>
            <w:r>
              <w:rPr>
                <w:rFonts w:eastAsia="方正仿宋_GBK" w:cs="Courier New" w:hint="eastAsia"/>
                <w:snapToGrid w:val="0"/>
                <w:spacing w:val="-4"/>
                <w:kern w:val="0"/>
                <w:sz w:val="32"/>
                <w:szCs w:val="32"/>
              </w:rPr>
              <w:t>具有疫情疫病传播风险的植物源性食品。</w:t>
            </w:r>
          </w:p>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snapToGrid w:val="0"/>
                <w:spacing w:val="-4"/>
                <w:kern w:val="0"/>
                <w:sz w:val="32"/>
                <w:szCs w:val="32"/>
              </w:rPr>
              <w:t>f. Plant-derived foods with the risk of transmitting infectious diseases.</w:t>
            </w:r>
          </w:p>
        </w:tc>
      </w:tr>
      <w:tr>
        <w:tc>
          <w:tcPr>
            <w:tcW w:w="1666" w:type="dxa"/>
            <w:tcBorders>
              <w:top w:val="single" w:sz="4" w:space="0" w:color="auto"/>
              <w:left w:val="single" w:sz="4" w:space="0" w:color="auto"/>
              <w:bottom w:val="single" w:sz="4" w:space="0" w:color="auto"/>
              <w:right w:val="single" w:sz="4" w:space="0" w:color="auto"/>
            </w:tcBorders>
          </w:tcPr>
          <w:p>
            <w:pPr>
              <w:pStyle w:val="28"/>
              <w:autoSpaceDE w:val="0"/>
              <w:autoSpaceDN w:val="0"/>
              <w:adjustRightInd w:val="0"/>
              <w:spacing w:line="560" w:lineRule="exact"/>
              <w:jc w:val="left"/>
              <w:rPr>
                <w:rFonts w:eastAsia="方正黑体_GBK" w:cs="Courier New"/>
                <w:snapToGrid w:val="0"/>
                <w:kern w:val="0"/>
                <w:sz w:val="32"/>
                <w:szCs w:val="32"/>
              </w:rPr>
            </w:pPr>
            <w:r>
              <w:rPr>
                <w:rFonts w:eastAsia="方正黑体_GBK" w:cs="Courier New" w:hint="eastAsia"/>
                <w:snapToGrid w:val="0"/>
                <w:kern w:val="0"/>
                <w:sz w:val="32"/>
                <w:szCs w:val="32"/>
              </w:rPr>
              <w:t>三、转基因动植物产品</w:t>
            </w:r>
          </w:p>
          <w:p>
            <w:pPr>
              <w:pStyle w:val="28"/>
              <w:autoSpaceDE w:val="0"/>
              <w:autoSpaceDN w:val="0"/>
              <w:adjustRightInd w:val="0"/>
              <w:spacing w:line="560" w:lineRule="exact"/>
              <w:jc w:val="left"/>
              <w:rPr>
                <w:rFonts w:eastAsia="方正黑体_GBK" w:cs="Courier New"/>
                <w:snapToGrid w:val="0"/>
                <w:kern w:val="0"/>
                <w:sz w:val="32"/>
                <w:szCs w:val="32"/>
              </w:rPr>
            </w:pPr>
            <w:r>
              <w:rPr>
                <w:rFonts w:eastAsia="方正黑体_GBK" w:cs="Courier New"/>
                <w:snapToGrid w:val="0"/>
                <w:kern w:val="0"/>
                <w:sz w:val="32"/>
                <w:szCs w:val="32"/>
              </w:rPr>
              <w:t>III. Genetical-ly Modified Animal and Plant Products</w:t>
            </w:r>
          </w:p>
        </w:tc>
        <w:tc>
          <w:tcPr>
            <w:tcW w:w="7394" w:type="dxa"/>
            <w:tcBorders>
              <w:top w:val="single" w:sz="4" w:space="0" w:color="auto"/>
              <w:left w:val="single" w:sz="4" w:space="0" w:color="auto"/>
              <w:bottom w:val="single" w:sz="4" w:space="0" w:color="auto"/>
              <w:right w:val="single" w:sz="4" w:space="0" w:color="auto"/>
            </w:tcBorders>
          </w:tcPr>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hint="eastAsia"/>
                <w:snapToGrid w:val="0"/>
                <w:spacing w:val="-4"/>
                <w:kern w:val="0"/>
                <w:sz w:val="32"/>
                <w:szCs w:val="32"/>
              </w:rPr>
              <w:t>涉及转基因标识目录范围的动植物产品，应声明是否“转基因”，如含转基因成</w:t>
            </w:r>
            <w:r>
              <w:rPr>
                <w:rFonts w:eastAsia="方正仿宋_GBK" w:cs="Courier New"/>
                <w:snapToGrid w:val="0"/>
                <w:spacing w:val="-4"/>
                <w:kern w:val="0"/>
                <w:sz w:val="32"/>
                <w:szCs w:val="32"/>
              </w:rPr>
              <w:t>分</w:t>
            </w:r>
            <w:r>
              <w:rPr>
                <w:rFonts w:eastAsia="方正仿宋_GBK" w:cs="Courier New" w:hint="eastAsia"/>
                <w:snapToGrid w:val="0"/>
                <w:spacing w:val="-4"/>
                <w:kern w:val="0"/>
                <w:sz w:val="32"/>
                <w:szCs w:val="32"/>
              </w:rPr>
              <w:t>应提供农业</w:t>
            </w:r>
            <w:r>
              <w:rPr>
                <w:rFonts w:eastAsia="方正仿宋_GBK" w:cs="Courier New"/>
                <w:snapToGrid w:val="0"/>
                <w:spacing w:val="-4"/>
                <w:kern w:val="0"/>
                <w:sz w:val="32"/>
                <w:szCs w:val="32"/>
              </w:rPr>
              <w:t>农村</w:t>
            </w:r>
            <w:r>
              <w:rPr>
                <w:rFonts w:eastAsia="方正仿宋_GBK" w:cs="Courier New" w:hint="eastAsia"/>
                <w:snapToGrid w:val="0"/>
                <w:spacing w:val="-4"/>
                <w:kern w:val="0"/>
                <w:sz w:val="32"/>
                <w:szCs w:val="32"/>
              </w:rPr>
              <w:t>部出具的“转基因生物安全证书”。</w:t>
            </w:r>
          </w:p>
          <w:p>
            <w:pPr>
              <w:pStyle w:val="28"/>
              <w:autoSpaceDE w:val="0"/>
              <w:autoSpaceDN w:val="0"/>
              <w:adjustRightInd w:val="0"/>
              <w:spacing w:line="560" w:lineRule="exact"/>
              <w:rPr>
                <w:rFonts w:eastAsia="方正仿宋_GBK" w:cs="Courier New"/>
                <w:snapToGrid w:val="0"/>
                <w:spacing w:val="-4"/>
                <w:kern w:val="0"/>
                <w:sz w:val="32"/>
                <w:szCs w:val="32"/>
              </w:rPr>
            </w:pPr>
            <w:r>
              <w:rPr>
                <w:rFonts w:eastAsia="方正仿宋_GBK" w:cs="Courier New"/>
                <w:snapToGrid w:val="0"/>
                <w:spacing w:val="-4"/>
                <w:kern w:val="0"/>
                <w:sz w:val="32"/>
                <w:szCs w:val="32"/>
              </w:rPr>
              <w:t>Animal and plant products subject to the genetically modified labeling catalog shall declare whether they are "genetically modified"; those containing genetically modified components shall provide a "Genetically Modified Organism Biosafety Certificate" issued by the Ministry of Agriculture and Rural Affairs.</w:t>
            </w:r>
          </w:p>
        </w:tc>
      </w:tr>
      <w:tr>
        <w:tc>
          <w:tcPr>
            <w:tcW w:w="1666" w:type="dxa"/>
            <w:tcBorders>
              <w:top w:val="single" w:sz="4" w:space="0" w:color="auto"/>
              <w:left w:val="single" w:sz="4" w:space="0" w:color="auto"/>
              <w:bottom w:val="single" w:sz="4" w:space="0" w:color="auto"/>
              <w:right w:val="single" w:sz="4" w:space="0" w:color="auto"/>
            </w:tcBorders>
          </w:tcPr>
          <w:p>
            <w:pPr>
              <w:pStyle w:val="28"/>
              <w:autoSpaceDE w:val="0"/>
              <w:autoSpaceDN w:val="0"/>
              <w:adjustRightInd w:val="0"/>
              <w:spacing w:line="560" w:lineRule="exact"/>
              <w:jc w:val="left"/>
              <w:rPr>
                <w:rFonts w:eastAsia="方正黑体_GBK" w:cs="Courier New"/>
                <w:snapToGrid w:val="0"/>
                <w:kern w:val="0"/>
                <w:sz w:val="32"/>
                <w:szCs w:val="32"/>
              </w:rPr>
            </w:pPr>
          </w:p>
          <w:p>
            <w:pPr>
              <w:pStyle w:val="28"/>
              <w:autoSpaceDE w:val="0"/>
              <w:autoSpaceDN w:val="0"/>
              <w:adjustRightInd w:val="0"/>
              <w:spacing w:line="560" w:lineRule="exact"/>
              <w:jc w:val="left"/>
              <w:rPr>
                <w:rFonts w:eastAsia="方正黑体_GBK" w:cs="Courier New"/>
                <w:snapToGrid w:val="0"/>
                <w:kern w:val="0"/>
                <w:sz w:val="32"/>
                <w:szCs w:val="32"/>
              </w:rPr>
            </w:pPr>
          </w:p>
          <w:p>
            <w:pPr>
              <w:pStyle w:val="28"/>
              <w:autoSpaceDE w:val="0"/>
              <w:autoSpaceDN w:val="0"/>
              <w:adjustRightInd w:val="0"/>
              <w:spacing w:line="560" w:lineRule="exact"/>
              <w:jc w:val="left"/>
              <w:rPr>
                <w:rFonts w:eastAsia="方正黑体_GBK" w:cs="Courier New"/>
                <w:snapToGrid w:val="0"/>
                <w:kern w:val="0"/>
                <w:sz w:val="32"/>
                <w:szCs w:val="32"/>
              </w:rPr>
            </w:pPr>
          </w:p>
          <w:p>
            <w:pPr>
              <w:pStyle w:val="28"/>
              <w:autoSpaceDE w:val="0"/>
              <w:autoSpaceDN w:val="0"/>
              <w:adjustRightInd w:val="0"/>
              <w:spacing w:line="560" w:lineRule="exact"/>
              <w:jc w:val="left"/>
              <w:rPr>
                <w:rFonts w:eastAsia="方正黑体_GBK" w:cs="Courier New"/>
                <w:snapToGrid w:val="0"/>
                <w:kern w:val="0"/>
                <w:sz w:val="32"/>
                <w:szCs w:val="32"/>
              </w:rPr>
            </w:pPr>
          </w:p>
          <w:p>
            <w:pPr>
              <w:pStyle w:val="28"/>
              <w:autoSpaceDE w:val="0"/>
              <w:autoSpaceDN w:val="0"/>
              <w:adjustRightInd w:val="0"/>
              <w:spacing w:line="560" w:lineRule="exact"/>
              <w:jc w:val="left"/>
              <w:rPr>
                <w:rFonts w:eastAsia="方正黑体_GBK" w:cs="Courier New"/>
                <w:snapToGrid w:val="0"/>
                <w:kern w:val="0"/>
                <w:sz w:val="32"/>
                <w:szCs w:val="32"/>
              </w:rPr>
            </w:pPr>
            <w:r>
              <w:rPr>
                <w:rFonts w:eastAsia="方正黑体_GBK" w:cs="Courier New" w:hint="eastAsia"/>
                <w:snapToGrid w:val="0"/>
                <w:kern w:val="0"/>
                <w:sz w:val="32"/>
                <w:szCs w:val="32"/>
              </w:rPr>
              <w:t>四、特殊货物物品</w:t>
            </w:r>
          </w:p>
          <w:p>
            <w:pPr>
              <w:pStyle w:val="28"/>
              <w:autoSpaceDE w:val="0"/>
              <w:autoSpaceDN w:val="0"/>
              <w:adjustRightInd w:val="0"/>
              <w:spacing w:line="560" w:lineRule="exact"/>
              <w:jc w:val="left"/>
              <w:rPr>
                <w:rFonts w:eastAsia="方正黑体_GBK" w:cs="Courier New"/>
                <w:snapToGrid w:val="0"/>
                <w:kern w:val="0"/>
                <w:sz w:val="32"/>
                <w:szCs w:val="32"/>
              </w:rPr>
            </w:pPr>
            <w:r>
              <w:rPr>
                <w:rFonts w:eastAsia="方正黑体_GBK" w:cs="Courier New"/>
                <w:snapToGrid w:val="0"/>
                <w:kern w:val="0"/>
                <w:sz w:val="32"/>
                <w:szCs w:val="32"/>
              </w:rPr>
              <w:t>IV. Special Articles</w:t>
            </w:r>
          </w:p>
        </w:tc>
        <w:tc>
          <w:tcPr>
            <w:tcW w:w="7394" w:type="dxa"/>
            <w:tcBorders>
              <w:top w:val="single" w:sz="4" w:space="0" w:color="auto"/>
              <w:left w:val="single" w:sz="4" w:space="0" w:color="auto"/>
              <w:bottom w:val="single" w:sz="4" w:space="0" w:color="auto"/>
              <w:right w:val="single" w:sz="4" w:space="0" w:color="auto"/>
            </w:tcBorders>
          </w:tcPr>
          <w:p>
            <w:pPr>
              <w:pStyle w:val="28"/>
              <w:autoSpaceDE w:val="0"/>
              <w:autoSpaceDN w:val="0"/>
              <w:adjustRightInd w:val="0"/>
              <w:spacing w:line="560" w:lineRule="exact"/>
              <w:rPr>
                <w:rFonts w:eastAsia="方正仿宋_GBK"/>
                <w:snapToGrid w:val="0"/>
                <w:spacing w:val="-4"/>
                <w:kern w:val="0"/>
                <w:sz w:val="32"/>
                <w:szCs w:val="32"/>
              </w:rPr>
            </w:pPr>
            <w:r>
              <w:rPr>
                <w:rFonts w:eastAsia="方正仿宋_GBK" w:cs="Courier New" w:hint="eastAsia"/>
                <w:snapToGrid w:val="0"/>
                <w:spacing w:val="-4"/>
                <w:kern w:val="0"/>
                <w:sz w:val="32"/>
                <w:szCs w:val="32"/>
              </w:rPr>
              <w:t>进境的血液等人体组织</w:t>
            </w:r>
            <w:r>
              <w:rPr>
                <w:rFonts w:eastAsia="方正仿宋_GBK" w:cs="Courier New"/>
                <w:snapToGrid w:val="0"/>
                <w:spacing w:val="-4"/>
                <w:kern w:val="0"/>
                <w:sz w:val="32"/>
                <w:szCs w:val="32"/>
              </w:rPr>
              <w:t>（</w:t>
            </w:r>
            <w:r>
              <w:rPr>
                <w:rFonts w:eastAsia="方正仿宋_GBK" w:cs="Courier New" w:hint="eastAsia"/>
                <w:snapToGrid w:val="0"/>
                <w:spacing w:val="-4"/>
                <w:kern w:val="0"/>
                <w:sz w:val="32"/>
                <w:szCs w:val="32"/>
              </w:rPr>
              <w:t>人类的全血、血浆、</w:t>
            </w:r>
            <w:r>
              <w:rPr>
                <w:rFonts w:eastAsia="方正仿宋_GBK" w:cs="Courier New"/>
                <w:snapToGrid w:val="0"/>
                <w:spacing w:val="-4"/>
                <w:kern w:val="0"/>
                <w:sz w:val="32"/>
                <w:szCs w:val="32"/>
              </w:rPr>
              <w:t>血清、其他</w:t>
            </w:r>
            <w:r>
              <w:rPr>
                <w:rFonts w:eastAsia="方正仿宋_GBK" w:cs="Courier New" w:hint="eastAsia"/>
                <w:snapToGrid w:val="0"/>
                <w:spacing w:val="-4"/>
                <w:kern w:val="0"/>
                <w:sz w:val="32"/>
                <w:szCs w:val="32"/>
              </w:rPr>
              <w:t>血液成分、细胞、细胞系、胚胎、器官、组织、骨髓等，以及脑脊液、胸腔液、腹腔液等其他可能传播传染病的分泌物、排泄物</w:t>
            </w:r>
            <w:r>
              <w:rPr>
                <w:rFonts w:eastAsia="方正仿宋_GBK" w:cs="Courier New"/>
                <w:snapToGrid w:val="0"/>
                <w:spacing w:val="-4"/>
                <w:kern w:val="0"/>
                <w:sz w:val="32"/>
                <w:szCs w:val="32"/>
              </w:rPr>
              <w:t>、体液）、</w:t>
            </w:r>
            <w:r>
              <w:rPr>
                <w:rFonts w:eastAsia="方正仿宋_GBK" w:cs="Courier New" w:hint="eastAsia"/>
                <w:snapToGrid w:val="0"/>
                <w:spacing w:val="-4"/>
                <w:kern w:val="0"/>
                <w:sz w:val="32"/>
                <w:szCs w:val="32"/>
              </w:rPr>
              <w:t>病原微生物</w:t>
            </w:r>
            <w:r>
              <w:rPr>
                <w:rFonts w:eastAsia="方正仿宋_GBK" w:cs="Courier New"/>
                <w:snapToGrid w:val="0"/>
                <w:spacing w:val="-4"/>
                <w:kern w:val="0"/>
                <w:sz w:val="32"/>
                <w:szCs w:val="32"/>
              </w:rPr>
              <w:t>（</w:t>
            </w:r>
            <w:r>
              <w:rPr>
                <w:rFonts w:eastAsia="方正仿宋_GBK" w:cs="Courier New" w:hint="eastAsia"/>
                <w:snapToGrid w:val="0"/>
                <w:spacing w:val="-4"/>
                <w:kern w:val="0"/>
                <w:sz w:val="32"/>
                <w:szCs w:val="32"/>
              </w:rPr>
              <w:t>可以侵犯人体，引起感染甚至传染病的微生物，包括病毒、细菌、真菌、放线菌、立克次体、螺旋体、衣原体、支原体、朊病毒</w:t>
            </w:r>
            <w:r>
              <w:rPr>
                <w:rFonts w:eastAsia="方正仿宋_GBK" w:cs="Courier New"/>
                <w:snapToGrid w:val="0"/>
                <w:spacing w:val="-4"/>
                <w:kern w:val="0"/>
                <w:sz w:val="32"/>
                <w:szCs w:val="32"/>
              </w:rPr>
              <w:t>、</w:t>
            </w:r>
            <w:r>
              <w:rPr>
                <w:rFonts w:eastAsia="方正仿宋_GBK" w:cs="Courier New" w:hint="eastAsia"/>
                <w:snapToGrid w:val="0"/>
                <w:spacing w:val="-4"/>
                <w:kern w:val="0"/>
                <w:sz w:val="32"/>
                <w:szCs w:val="32"/>
              </w:rPr>
              <w:t>寄生虫</w:t>
            </w:r>
            <w:r>
              <w:rPr>
                <w:rFonts w:eastAsia="方正仿宋_GBK" w:cs="Courier New"/>
                <w:snapToGrid w:val="0"/>
                <w:spacing w:val="-4"/>
                <w:kern w:val="0"/>
                <w:sz w:val="32"/>
                <w:szCs w:val="32"/>
              </w:rPr>
              <w:t>等）、</w:t>
            </w:r>
            <w:r>
              <w:rPr>
                <w:rFonts w:eastAsia="方正仿宋_GBK" w:cs="Courier New" w:hint="eastAsia"/>
                <w:snapToGrid w:val="0"/>
                <w:spacing w:val="-4"/>
                <w:kern w:val="0"/>
                <w:sz w:val="32"/>
                <w:szCs w:val="32"/>
              </w:rPr>
              <w:t>生物制品</w:t>
            </w:r>
            <w:r>
              <w:rPr>
                <w:rFonts w:eastAsia="方正仿宋_GBK" w:cs="Courier New"/>
                <w:snapToGrid w:val="0"/>
                <w:spacing w:val="-4"/>
                <w:kern w:val="0"/>
                <w:sz w:val="32"/>
                <w:szCs w:val="32"/>
              </w:rPr>
              <w:t>（来源于人或者用于</w:t>
            </w:r>
            <w:r>
              <w:rPr>
                <w:rFonts w:eastAsia="方正仿宋_GBK" w:cs="Courier New" w:hint="eastAsia"/>
                <w:snapToGrid w:val="0"/>
                <w:spacing w:val="-4"/>
                <w:kern w:val="0"/>
                <w:sz w:val="32"/>
                <w:szCs w:val="32"/>
              </w:rPr>
              <w:t>人类医学相关领域的人体蛋白、细胞因子、酶及其制剂、毒素、抗原、抗体、抗原—抗体复合物、核酸</w:t>
            </w:r>
            <w:r>
              <w:rPr>
                <w:rFonts w:eastAsia="方正仿宋_GBK" w:cs="Courier New"/>
                <w:snapToGrid w:val="0"/>
                <w:spacing w:val="-4"/>
                <w:kern w:val="0"/>
                <w:sz w:val="32"/>
                <w:szCs w:val="32"/>
              </w:rPr>
              <w:t>及其他生物技术产品</w:t>
            </w:r>
            <w:r>
              <w:rPr>
                <w:rFonts w:eastAsia="方正仿宋_GBK" w:cs="Courier New" w:hint="eastAsia"/>
                <w:snapToGrid w:val="0"/>
                <w:spacing w:val="-4"/>
                <w:kern w:val="0"/>
                <w:sz w:val="32"/>
                <w:szCs w:val="32"/>
              </w:rPr>
              <w:t>等生物活性制剂</w:t>
            </w:r>
            <w:r>
              <w:rPr>
                <w:rFonts w:eastAsia="方正仿宋_GBK" w:cs="Courier New"/>
                <w:snapToGrid w:val="0"/>
                <w:spacing w:val="-4"/>
                <w:kern w:val="0"/>
                <w:sz w:val="32"/>
                <w:szCs w:val="32"/>
              </w:rPr>
              <w:t>）</w:t>
            </w:r>
            <w:r>
              <w:rPr>
                <w:rFonts w:eastAsia="方正仿宋_GBK" w:hint="eastAsia"/>
                <w:snapToGrid w:val="0"/>
                <w:spacing w:val="-4"/>
                <w:kern w:val="0"/>
                <w:sz w:val="32"/>
                <w:szCs w:val="32"/>
              </w:rPr>
              <w:t>。</w:t>
            </w:r>
          </w:p>
          <w:p>
            <w:pPr>
              <w:pStyle w:val="28"/>
              <w:autoSpaceDE w:val="0"/>
              <w:autoSpaceDN w:val="0"/>
              <w:adjustRightInd w:val="0"/>
              <w:spacing w:line="560" w:lineRule="exact"/>
              <w:rPr>
                <w:rFonts w:eastAsia="方正仿宋_GBK"/>
                <w:snapToGrid w:val="0"/>
                <w:spacing w:val="-4"/>
                <w:kern w:val="0"/>
                <w:sz w:val="32"/>
                <w:szCs w:val="32"/>
              </w:rPr>
            </w:pPr>
            <w:r>
              <w:rPr>
                <w:rFonts w:eastAsia="方正仿宋_GBK"/>
                <w:snapToGrid w:val="0"/>
                <w:spacing w:val="-4"/>
                <w:kern w:val="0"/>
                <w:sz w:val="32"/>
                <w:szCs w:val="32"/>
              </w:rPr>
              <w:t>Blood and other human tissues entering China (including whole blood, plasma, serum, other blood components, cells, cell lines, embryos, organs, tissues, bone marrow, etc., as well as other secretions, excretions, and body fluids such as cerebrospinal fluid, pleural fluid, and peritoneal fluid that may transmit infectious diseases), pathogenic microorganisms (microorganisms that can invade the human body and cause infections or even infectious diseases, including viruses, bacteria, fungi, actinomycetes, rickettsiae, spirochetes, chlamydiae, mycoplasma, prions, parasites, etc.), and biological products (biologically active preparations derived from humans or used in human medical fields, such as human proteins, cytokines, enzymes and their preparations, toxins, antigens, antibodies, antigen-antibody complexes, nucleic acids, and other biotechnology products).</w:t>
            </w:r>
          </w:p>
        </w:tc>
      </w:tr>
    </w:tbl>
    <w:p>
      <w:pPr>
        <w:pStyle w:val="34"/>
        <w:rPr>
          <w:rFonts w:cs="仿宋_GB2312"/>
        </w:rPr>
      </w:pPr>
      <w:r>
        <w:rPr>
          <w:rFonts w:cs="仿宋_GB2312" w:hint="eastAsia"/>
        </w:rPr>
        <w:t>注：如国家有关政策调整，按调整后的政策规定执行。</w:t>
      </w:r>
    </w:p>
    <w:p>
      <w:pPr>
        <w:pStyle w:val="34"/>
        <w:rPr>
          <w:rFonts w:ascii="Times New Roman" w:hAnsi="Times New Roman"/>
          <w:snapToGrid w:val="0"/>
          <w:spacing w:val="-4"/>
          <w:kern w:val="0"/>
        </w:rPr>
      </w:pPr>
      <w:r>
        <w:rPr>
          <w:rFonts w:ascii="Times New Roman" w:hAnsi="Times New Roman"/>
          <w:snapToGrid w:val="0"/>
          <w:spacing w:val="-4"/>
          <w:kern w:val="0"/>
        </w:rPr>
        <w:t>Note: In the event of adjustments to national policies, the adjusted policy provisions shall prevail.</w:t>
      </w:r>
    </w:p>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00000001" w:usb1="08000000" w:usb2="00000000" w:usb3="00000000" w:csb0="00040000" w:csb1="00000000"/>
  </w:font>
  <w:font w:name="方正小标宋_GBK">
    <w:panose1 w:val="02000000000000000000"/>
    <w:charset w:val="86"/>
    <w:family w:val="script"/>
    <w:pitch w:val="variable"/>
    <w:sig w:usb0="00000001" w:usb1="08000000" w:usb2="00000000" w:usb3="00000000" w:csb0="00040000" w:csb1="00000000"/>
  </w:font>
  <w:font w:name="Courier New">
    <w:altName w:val="DejaVu Sans"/>
    <w:panose1 w:val="02070309020205020404"/>
    <w:charset w:val="01"/>
    <w:family w:val="modern"/>
    <w:pitch w:val="variable"/>
    <w:sig w:usb0="E0002AFF" w:usb1="C0007843" w:usb2="00000009" w:usb3="00000000" w:csb0="400001FF" w:csb1="FFFF0000"/>
  </w:font>
  <w:font w:name="方正仿宋_GBK">
    <w:panose1 w:val="02000000000000000000"/>
    <w:charset w:val="86"/>
    <w:family w:val="script"/>
    <w:pitch w:val="variable"/>
    <w:sig w:usb0="00000001" w:usb1="08000000" w:usb2="00000000" w:usb3="00000000" w:csb0="00040000" w:csb1="00000000"/>
  </w:font>
  <w:font w:name="仿宋_GB2312">
    <w:altName w:val="仿宋"/>
    <w:panose1 w:val="02010609030101010101"/>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宋体">
    <w:altName w:val="华文宋体"/>
    <w:panose1 w:val="02010600030101010101"/>
    <w:charset w:val="86"/>
    <w:family w:val="auto"/>
    <w:pitch w:val="variable"/>
    <w:sig w:usb0="00000003" w:usb1="080E0000" w:usb2="00000000" w:usb3="00000000" w:csb0="00040001" w:csb1="00000000"/>
  </w:font>
  <w:font w:name="Lucida Sans">
    <w:altName w:val="DejaVu Sans"/>
    <w:panose1 w:val="020B07030405040A0204"/>
    <w:charset w:val="00"/>
    <w:family w:val="auto"/>
    <w:pitch w:val="variable"/>
    <w:sig w:usb0="00000003" w:usb1="00000000" w:usb2="00000000" w:usb3="00000000" w:csb0="20000001" w:csb1="00000000"/>
  </w:font>
  <w:font w:name="黑体">
    <w:altName w:val="方正黑体_GBK"/>
    <w:panose1 w:val="02010609060101010101"/>
    <w:charset w:val="86"/>
    <w:family w:val="auto"/>
    <w:pitch w:val="variable"/>
    <w:sig w:usb0="800002BF" w:usb1="38CF7CFA" w:usb2="00000016" w:usb3="00000000" w:csb0="00040001" w:csb1="00000000"/>
  </w:font>
  <w:font w:name="Calibri">
    <w:altName w:val="Times New Roman"/>
    <w:panose1 w:val="020F0502020204030204"/>
    <w:charset w:val="00"/>
    <w:family w:val="swiss"/>
    <w:pitch w:val="variable"/>
    <w:sig w:usb0="E4002EFF" w:usb1="C200247B" w:usb2="00000009" w:usb3="00000000" w:csb0="000001FF" w:csb1="00000000"/>
  </w:font>
  <w:font w:name="Arial">
    <w:altName w:val="DejaVu Sans"/>
    <w:panose1 w:val="020B0604020202020204"/>
    <w:charset w:val="00"/>
    <w:family w:val="auto"/>
    <w:pitch w:val="variable"/>
    <w:sig w:usb0="00007A87" w:usb1="80000000" w:usb2="00000008"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5"/>
  <w:doNotDisplayPageBoundaries/>
  <w:displayBackgroundShape/>
  <w:bordersDoNotSurroundHeader/>
  <w:bordersDoNotSurroundFooter/>
  <w:defaultTabStop w:val="420"/>
  <w:drawingGridHorizontalSpacing w:val="143"/>
  <w:drawingGridVerticalSpacing w:val="156"/>
  <w:displayHorizontalDrawingGridEvery w:val="0"/>
  <w:displayVerticalDrawingGridEvery w:val="2"/>
  <w:noPunctuationKerning/>
  <w:noLineBreaksAfter w:lang="zh-CN" w:val="$([{£¥·‘“〈《「『【〔〖〝﹙﹛﹝＄（．［｛￡￥"/>
  <w:noLineBreaksBefore w:lang="zh-CN" w:val="!%),.:;&gt;?]}¢¨°·ˇˉ―‖’”…‰′″›℃∶、。〃〉》」』】〕〗〞︶︺︾﹀﹄﹚﹜﹞！＂％＇），．：；？］｀｜｝～￠"/>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HTML Address"/>
    <w:basedOn w:val="0"/>
    <w:rPr>
      <w:i/>
    </w:rPr>
  </w:style>
  <w:style w:type="paragraph" w:styleId="16">
    <w:name w:val="footer"/>
    <w:basedOn w:val="0"/>
    <w:pPr>
      <w:widowControl w:val="0"/>
      <w:tabs>
        <w:tab w:val="center" w:pos="4153"/>
        <w:tab w:val="right" w:pos="8306"/>
      </w:tabs>
      <w:snapToGrid w:val="0"/>
      <w:jc w:val="left"/>
    </w:pPr>
    <w:rPr>
      <w:rFonts w:ascii="方正黑体_GBK" w:eastAsia="方正黑体_GBK" w:cs="Times New Roman"/>
      <w:kern w:val="2"/>
      <w:sz w:val="18"/>
      <w:szCs w:val="18"/>
      <w:lang w:val="en-US" w:eastAsia="zh-CN" w:bidi="ar-SA"/>
    </w:rPr>
  </w:style>
  <w:style w:type="paragraph" w:styleId="17">
    <w:name w:val="toc 6"/>
    <w:basedOn w:val="0"/>
    <w:autoRedefine/>
    <w:next w:val="0"/>
    <w:pPr>
      <w:ind w:left="2100"/>
    </w:pPr>
  </w:style>
  <w:style w:type="paragraph" w:styleId="18">
    <w:name w:val="Body Text 2"/>
    <w:basedOn w:val="0"/>
    <w:pPr>
      <w:spacing w:after="120" w:line="480" w:lineRule="auto"/>
    </w:pPr>
  </w:style>
  <w:style w:type="paragraph" w:styleId="19">
    <w:name w:val="Normal (Web)"/>
    <w:basedOn w:val="0"/>
    <w:next w:val="15"/>
    <w:pPr>
      <w:widowControl/>
      <w:spacing w:before="100" w:beforeAutospacing="1" w:after="100" w:afterAutospacing="1"/>
      <w:jc w:val="left"/>
    </w:pPr>
    <w:rPr>
      <w:rFonts w:ascii="宋体" w:eastAsia="宋体" w:cs="宋体" w:hAnsi="Calibri"/>
      <w:kern w:val="0"/>
      <w:sz w:val="24"/>
      <w:szCs w:val="24"/>
      <w:lang w:val="en-US" w:eastAsia="zh-CN" w:bidi="ar-SA"/>
    </w:rPr>
  </w:style>
  <w:style w:type="character" w:styleId="20">
    <w:name w:val="page number"/>
  </w:style>
  <w:style w:type="character" w:styleId="21">
    <w:name w:val="HTML Definition"/>
    <w:basedOn w:val="10"/>
    <w:rPr>
      <w:i/>
    </w:rPr>
  </w:style>
  <w:style w:type="character" w:styleId="22">
    <w:name w:val="HTML Acronym"/>
    <w:basedOn w:val="10"/>
  </w:style>
  <w:style w:type="character" w:styleId="23">
    <w:name w:val="HTML Code"/>
    <w:basedOn w:val="10"/>
    <w:rPr>
      <w:rFonts w:ascii="Courier New" w:hAnsi="Courier New"/>
      <w:sz w:val="20"/>
      <w:szCs w:val="20"/>
    </w:rPr>
  </w:style>
  <w:style w:type="character" w:styleId="24">
    <w:name w:val="HTML Cite"/>
    <w:basedOn w:val="10"/>
    <w:rPr>
      <w:i/>
    </w:rPr>
  </w:style>
  <w:style w:type="character" w:styleId="25">
    <w:name w:val="HTML Keyboard"/>
    <w:basedOn w:val="10"/>
    <w:rPr>
      <w:rFonts w:ascii="Courier New" w:hAnsi="Courier New"/>
      <w:sz w:val="20"/>
      <w:szCs w:val="20"/>
    </w:rPr>
  </w:style>
  <w:style w:type="paragraph" w:customStyle="1" w:styleId="26">
    <w:name w:val="样式 50 10 磅"/>
    <w:autoRedefine/>
    <w:pPr>
      <w:widowControl w:val="0"/>
      <w:jc w:val="both"/>
    </w:pPr>
    <w:rPr>
      <w:rFonts w:ascii="方正黑体_GBK" w:eastAsia="方正黑体_GBK" w:cs="方正黑体_GBK" w:hAnsi="Times New Roman"/>
      <w:kern w:val="2"/>
      <w:sz w:val="32"/>
      <w:szCs w:val="32"/>
      <w:lang w:val="en-US" w:eastAsia="zh-CN" w:bidi="ar-SA"/>
    </w:rPr>
  </w:style>
  <w:style w:type="paragraph" w:customStyle="1" w:styleId="27">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1 小四"/>
    <w:pPr>
      <w:widowControl w:val="0"/>
    </w:pPr>
    <w:rPr>
      <w:rFonts w:ascii="宋体" w:eastAsia="宋体" w:cs="Lucida Sans" w:hAnsi="Times New Roman"/>
      <w:kern w:val="2"/>
      <w:sz w:val="24"/>
      <w:szCs w:val="21"/>
      <w:lang w:val="en-US" w:eastAsia="zh-CN" w:bidi="ar-SA"/>
    </w:rPr>
  </w:style>
  <w:style w:type="paragraph" w:customStyle="1" w:styleId="32">
    <w:name w:val="样式 小五"/>
    <w:basedOn w:val="0"/>
    <w:pPr>
      <w:widowControl w:val="0"/>
      <w:tabs>
        <w:tab w:val="center" w:pos="4153"/>
        <w:tab w:val="right" w:pos="8306"/>
      </w:tabs>
      <w:snapToGrid w:val="0"/>
      <w:jc w:val="left"/>
    </w:pPr>
    <w:rPr>
      <w:rFonts w:ascii="方正黑体_GBK" w:eastAsia="方正黑体_GBK" w:cs="Times New Roman"/>
      <w:kern w:val="2"/>
      <w:sz w:val="18"/>
      <w:szCs w:val="18"/>
      <w:lang w:val="en-US" w:eastAsia="zh-CN" w:bidi="ar-SA"/>
    </w:rPr>
  </w:style>
  <w:style w:type="paragraph" w:customStyle="1" w:styleId="33">
    <w:name w:val="样式 1 小五"/>
    <w:basedOn w:val="0"/>
    <w:pPr>
      <w:widowControl w:val="0"/>
      <w:tabs>
        <w:tab w:val="center" w:pos="4153"/>
        <w:tab w:val="right" w:pos="8306"/>
      </w:tabs>
      <w:snapToGrid w:val="0"/>
      <w:jc w:val="left"/>
    </w:pPr>
    <w:rPr>
      <w:rFonts w:ascii="方正黑体_GBK" w:eastAsia="方正黑体_GBK" w:cs="Times New Roman"/>
      <w:kern w:val="2"/>
      <w:sz w:val="18"/>
      <w:szCs w:val="18"/>
      <w:lang w:val="en-US" w:eastAsia="zh-CN" w:bidi="ar-SA"/>
    </w:rPr>
  </w:style>
  <w:style w:type="paragraph" w:customStyle="1" w:styleId="34">
    <w:name w:val="样式 23 三号"/>
    <w:autoRedefine/>
    <w:pPr>
      <w:widowControl w:val="0"/>
      <w:spacing w:line="520" w:lineRule="exact"/>
      <w:jc w:val="both"/>
    </w:pPr>
    <w:rPr>
      <w:rFonts w:ascii="方正仿宋_GBK" w:eastAsia="方正仿宋_GBK" w:cs="方正小标宋_GBK" w:hAnsi="Times New Roman"/>
      <w:kern w:val="2"/>
      <w:sz w:val="32"/>
      <w:szCs w:val="32"/>
      <w:lang w:val="en-US" w:eastAsia="zh-CN" w:bidi="ar-SA"/>
    </w:rPr>
  </w:style>
  <w:style w:type="paragraph" w:customStyle="1" w:styleId="35">
    <w:name w:val="样式 10 磅"/>
    <w:next w:val="18"/>
    <w:pPr>
      <w:widowControl w:val="0"/>
      <w:jc w:val="both"/>
    </w:pPr>
    <w:rPr>
      <w:rFonts w:ascii="Calibri" w:eastAsia="宋体" w:cs="Arial" w:hAnsi="Calibri"/>
      <w:kern w:val="2"/>
      <w:sz w:val="21"/>
      <w:szCs w:val="24"/>
      <w:lang w:val="en-US" w:eastAsia="zh-CN" w:bidi="ar-SA"/>
    </w:rPr>
  </w:style>
  <w:style w:type="paragraph" w:customStyle="1" w:styleId="36">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小四"/>
    <w:pPr>
      <w:widowControl w:val="0"/>
      <w:spacing w:line="240" w:lineRule="auto"/>
      <w:jc w:val="left"/>
    </w:pPr>
    <w:rPr>
      <w:rFonts w:ascii="宋体" w:eastAsia="宋体" w:cs="Lucida Sans" w:hAnsi="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420D604D-9DA6-4186-AFD8-7BB36590CE3D}">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159</TotalTime>
  <Application>Yozo_Office27021597764231179</Application>
  <Pages>0</Pages>
  <Words>0</Words>
  <Characters>3068</Characters>
  <Lines>0</Lines>
  <Paragraphs>10</Paragraphs>
  <CharactersWithSpaces>4091</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江鹏</cp:lastModifiedBy>
  <cp:revision>0</cp:revision>
  <cp:lastPrinted>2026-06-17T00:31:04Z</cp:lastPrinted>
  <dcterms:created xsi:type="dcterms:W3CDTF">2021-05-08T15:28:00Z</dcterms:created>
  <dcterms:modified xsi:type="dcterms:W3CDTF">2026-08-10T02:58:02Z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2052-12.9.0.21590</vt:lpwstr>
  </property>
  <property fmtid="{D5CDD505-2E9C-101B-9397-08002B2CF9AE}" pid="3" name="ICV">
    <vt:lpwstr>90EFA927A269FC370D2C2A6AFE0A1933_43</vt:lpwstr>
  </property>
</Properties>
</file>